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5D" w:rsidRPr="003D4A78" w:rsidRDefault="0093125D" w:rsidP="003D4A78">
      <w:pPr>
        <w:pStyle w:val="NormalWeb"/>
        <w:ind w:left="1080" w:hanging="1080"/>
        <w:jc w:val="both"/>
        <w:rPr>
          <w:rFonts w:ascii="Times New Roman" w:hAnsi="Times New Roman" w:cs="Times New Roman"/>
          <w:b/>
          <w:bCs/>
          <w:color w:val="333333"/>
        </w:rPr>
      </w:pPr>
      <w:r>
        <w:rPr>
          <w:rFonts w:ascii="Times New Roman" w:hAnsi="Times New Roman" w:cs="Times New Roman"/>
          <w:color w:val="333333"/>
        </w:rPr>
        <w:t xml:space="preserve">  mf            </w:t>
      </w:r>
      <w:r w:rsidRPr="003D4A78">
        <w:rPr>
          <w:rFonts w:ascii="Times New Roman" w:hAnsi="Times New Roman" w:cs="Times New Roman"/>
          <w:b/>
          <w:bCs/>
          <w:color w:val="333333"/>
        </w:rPr>
        <w:t>GIUNTA COMUNALE – ADUNANZA DEL    24 NOVEMBRE 2010</w:t>
      </w:r>
    </w:p>
    <w:p w:rsidR="0093125D" w:rsidRPr="003D4A78" w:rsidRDefault="0093125D" w:rsidP="003D4A78">
      <w:pPr>
        <w:pStyle w:val="NormalWeb"/>
        <w:ind w:left="1080" w:hanging="1080"/>
        <w:jc w:val="both"/>
        <w:rPr>
          <w:rFonts w:ascii="Times New Roman" w:hAnsi="Times New Roman" w:cs="Times New Roman"/>
          <w:b/>
          <w:bCs/>
          <w:color w:val="333333"/>
        </w:rPr>
      </w:pPr>
      <w:r w:rsidRPr="003D4A78">
        <w:rPr>
          <w:rFonts w:ascii="Times New Roman" w:hAnsi="Times New Roman" w:cs="Times New Roman"/>
          <w:b/>
          <w:bCs/>
          <w:color w:val="333333"/>
        </w:rPr>
        <w:t xml:space="preserve">                                                              OGGETTO N. 418</w:t>
      </w:r>
    </w:p>
    <w:p w:rsidR="0093125D" w:rsidRPr="00BD326C" w:rsidRDefault="0093125D" w:rsidP="003D4A78">
      <w:pPr>
        <w:pStyle w:val="NormalWeb"/>
        <w:spacing w:line="255" w:lineRule="atLeast"/>
        <w:jc w:val="both"/>
        <w:rPr>
          <w:rFonts w:ascii="Times New Roman" w:hAnsi="Times New Roman" w:cs="Times New Roman"/>
          <w:color w:val="333333"/>
        </w:rPr>
      </w:pPr>
      <w:r w:rsidRPr="00BD326C">
        <w:rPr>
          <w:rFonts w:ascii="Times New Roman" w:hAnsi="Times New Roman" w:cs="Times New Roman"/>
          <w:b/>
          <w:bCs/>
          <w:color w:val="333333"/>
        </w:rPr>
        <w:t>APPROVAZIONE CRITERI</w:t>
      </w:r>
      <w:r w:rsidRPr="00BD326C">
        <w:rPr>
          <w:rFonts w:ascii="Times New Roman" w:hAnsi="Times New Roman" w:cs="Times New Roman"/>
          <w:color w:val="333333"/>
        </w:rPr>
        <w:t xml:space="preserve"> </w:t>
      </w:r>
      <w:r w:rsidRPr="00BD326C">
        <w:rPr>
          <w:rFonts w:ascii="Times New Roman" w:hAnsi="Times New Roman" w:cs="Times New Roman"/>
          <w:b/>
          <w:bCs/>
          <w:color w:val="auto"/>
        </w:rPr>
        <w:t xml:space="preserve">PER LA RIDEFINIZIONE DEL PESO DELLE </w:t>
      </w:r>
      <w:r>
        <w:rPr>
          <w:rFonts w:ascii="Times New Roman" w:hAnsi="Times New Roman" w:cs="Times New Roman"/>
          <w:b/>
          <w:bCs/>
          <w:color w:val="auto"/>
        </w:rPr>
        <w:t xml:space="preserve"> </w:t>
      </w:r>
      <w:r w:rsidRPr="00BD326C">
        <w:rPr>
          <w:rFonts w:ascii="Times New Roman" w:hAnsi="Times New Roman" w:cs="Times New Roman"/>
          <w:b/>
          <w:bCs/>
          <w:color w:val="auto"/>
        </w:rPr>
        <w:t>POSIZIONI DIRIGENZIALI E POSIZIONI ORGANIZZATIVE</w:t>
      </w:r>
      <w:r>
        <w:rPr>
          <w:rFonts w:ascii="Times New Roman" w:hAnsi="Times New Roman" w:cs="Times New Roman"/>
          <w:b/>
          <w:bCs/>
          <w:color w:val="auto"/>
        </w:rPr>
        <w:t xml:space="preserve"> -</w:t>
      </w:r>
      <w:r w:rsidRPr="00BD326C">
        <w:rPr>
          <w:rFonts w:ascii="Times New Roman" w:hAnsi="Times New Roman" w:cs="Times New Roman"/>
          <w:b/>
          <w:bCs/>
          <w:color w:val="auto"/>
        </w:rPr>
        <w:t xml:space="preserve"> ATTO DI INDIRIZZO</w:t>
      </w:r>
      <w:r w:rsidRPr="00BD326C">
        <w:rPr>
          <w:rFonts w:ascii="Times New Roman" w:hAnsi="Times New Roman" w:cs="Times New Roman"/>
          <w:color w:val="333333"/>
        </w:rPr>
        <w:t>.</w:t>
      </w:r>
    </w:p>
    <w:p w:rsidR="0093125D" w:rsidRPr="0083115C" w:rsidRDefault="0093125D" w:rsidP="0083115C">
      <w:pPr>
        <w:pStyle w:val="NormalWeb"/>
        <w:spacing w:line="255" w:lineRule="atLeast"/>
        <w:jc w:val="center"/>
        <w:rPr>
          <w:rFonts w:ascii="Times New Roman" w:hAnsi="Times New Roman" w:cs="Times New Roman"/>
          <w:b/>
          <w:bCs/>
          <w:color w:val="333333"/>
        </w:rPr>
      </w:pPr>
      <w:r w:rsidRPr="0083115C">
        <w:rPr>
          <w:rFonts w:ascii="Times New Roman" w:hAnsi="Times New Roman" w:cs="Times New Roman"/>
          <w:b/>
          <w:bCs/>
          <w:color w:val="333333"/>
        </w:rPr>
        <w:t>LA GIUNTA COMUNALE</w:t>
      </w:r>
    </w:p>
    <w:p w:rsidR="0093125D" w:rsidRPr="00BD326C" w:rsidRDefault="0093125D" w:rsidP="00BD326C">
      <w:pPr>
        <w:pStyle w:val="NormalWeb"/>
        <w:spacing w:line="255" w:lineRule="atLeast"/>
        <w:jc w:val="both"/>
        <w:rPr>
          <w:rFonts w:ascii="Times New Roman" w:hAnsi="Times New Roman" w:cs="Times New Roman"/>
        </w:rPr>
      </w:pPr>
      <w:r w:rsidRPr="00BD326C">
        <w:rPr>
          <w:rFonts w:ascii="Times New Roman" w:hAnsi="Times New Roman" w:cs="Times New Roman"/>
          <w:color w:val="333333"/>
        </w:rPr>
        <w:t>Premesso che con D.Lsg. n</w:t>
      </w:r>
      <w:r>
        <w:rPr>
          <w:rFonts w:ascii="Times New Roman" w:hAnsi="Times New Roman" w:cs="Times New Roman"/>
          <w:color w:val="333333"/>
        </w:rPr>
        <w:t xml:space="preserve">. </w:t>
      </w:r>
      <w:r w:rsidRPr="00BD326C">
        <w:rPr>
          <w:rFonts w:ascii="Times New Roman" w:hAnsi="Times New Roman" w:cs="Times New Roman"/>
          <w:color w:val="333333"/>
        </w:rPr>
        <w:t>150/2009</w:t>
      </w:r>
      <w:r>
        <w:rPr>
          <w:rFonts w:ascii="Times New Roman" w:hAnsi="Times New Roman" w:cs="Times New Roman"/>
          <w:color w:val="333333"/>
        </w:rPr>
        <w:t>,</w:t>
      </w:r>
      <w:r w:rsidRPr="00BD326C">
        <w:rPr>
          <w:rFonts w:ascii="Times New Roman" w:hAnsi="Times New Roman" w:cs="Times New Roman"/>
          <w:color w:val="333333"/>
        </w:rPr>
        <w:t xml:space="preserve"> è stata emanata la riforma  del pubblico impiego e disciplinata  l'introduzione nell'organizzazione delle pubbliche amministrazioni di strumenti di valorizzazione del merito e metodi di incentivazione della produttività e della qualità della prestazione lavorativa, secondo le modalità attuative stabilite dalla contrattazione collettiva</w:t>
      </w:r>
      <w:r>
        <w:rPr>
          <w:rFonts w:ascii="Times New Roman" w:hAnsi="Times New Roman" w:cs="Times New Roman"/>
          <w:color w:val="333333"/>
        </w:rPr>
        <w:t>.</w:t>
      </w:r>
    </w:p>
    <w:p w:rsidR="0093125D" w:rsidRPr="00BD326C" w:rsidRDefault="0093125D" w:rsidP="0046199D">
      <w:pPr>
        <w:pStyle w:val="NormalWeb"/>
        <w:spacing w:line="255" w:lineRule="atLeast"/>
        <w:rPr>
          <w:rFonts w:ascii="Times New Roman" w:hAnsi="Times New Roman" w:cs="Times New Roman"/>
          <w:color w:val="333333"/>
        </w:rPr>
      </w:pPr>
      <w:r w:rsidRPr="00BD326C">
        <w:rPr>
          <w:rFonts w:ascii="Times New Roman" w:hAnsi="Times New Roman" w:cs="Times New Roman"/>
        </w:rPr>
        <w:t>Il Decreto legislativo prevede:</w:t>
      </w:r>
    </w:p>
    <w:p w:rsidR="0093125D" w:rsidRPr="00BD326C" w:rsidRDefault="0093125D" w:rsidP="003D4A78">
      <w:pPr>
        <w:numPr>
          <w:ilvl w:val="0"/>
          <w:numId w:val="1"/>
        </w:numPr>
        <w:spacing w:before="100" w:beforeAutospacing="1" w:after="100" w:afterAutospacing="1" w:line="300" w:lineRule="atLeast"/>
        <w:jc w:val="both"/>
        <w:rPr>
          <w:rFonts w:ascii="Times New Roman" w:hAnsi="Times New Roman" w:cs="Times New Roman"/>
          <w:color w:val="000000"/>
          <w:sz w:val="24"/>
          <w:szCs w:val="24"/>
        </w:rPr>
      </w:pPr>
      <w:r w:rsidRPr="00BD326C">
        <w:rPr>
          <w:rFonts w:ascii="Times New Roman" w:hAnsi="Times New Roman" w:cs="Times New Roman"/>
          <w:color w:val="000000"/>
          <w:sz w:val="24"/>
          <w:szCs w:val="24"/>
        </w:rPr>
        <w:t xml:space="preserve">un ciclo di gestione della performance, mirato a supportare la  valutazione delle amministrazioni e dei dipendenti volta al miglioramento e al riconoscimento del merito; </w:t>
      </w:r>
    </w:p>
    <w:p w:rsidR="0093125D" w:rsidRPr="00BD326C" w:rsidRDefault="0093125D" w:rsidP="003D4A78">
      <w:pPr>
        <w:numPr>
          <w:ilvl w:val="0"/>
          <w:numId w:val="1"/>
        </w:numPr>
        <w:spacing w:before="100" w:beforeAutospacing="1" w:after="100" w:afterAutospacing="1" w:line="300" w:lineRule="atLeast"/>
        <w:jc w:val="both"/>
        <w:rPr>
          <w:rFonts w:ascii="Times New Roman" w:hAnsi="Times New Roman" w:cs="Times New Roman"/>
          <w:color w:val="000000"/>
          <w:sz w:val="24"/>
          <w:szCs w:val="24"/>
        </w:rPr>
      </w:pPr>
      <w:r w:rsidRPr="00BD326C">
        <w:rPr>
          <w:rFonts w:ascii="Times New Roman" w:hAnsi="Times New Roman" w:cs="Times New Roman"/>
          <w:color w:val="000000"/>
          <w:sz w:val="24"/>
          <w:szCs w:val="24"/>
        </w:rPr>
        <w:t xml:space="preserve">la selettività nell’attribuzione dei premi;  </w:t>
      </w:r>
    </w:p>
    <w:p w:rsidR="0093125D" w:rsidRPr="00BD326C" w:rsidRDefault="0093125D" w:rsidP="003D4A78">
      <w:pPr>
        <w:numPr>
          <w:ilvl w:val="0"/>
          <w:numId w:val="1"/>
        </w:numPr>
        <w:spacing w:before="100" w:beforeAutospacing="1" w:after="100" w:afterAutospacing="1" w:line="300" w:lineRule="atLeast"/>
        <w:jc w:val="both"/>
        <w:rPr>
          <w:rFonts w:ascii="Times New Roman" w:hAnsi="Times New Roman" w:cs="Times New Roman"/>
          <w:color w:val="000000"/>
          <w:sz w:val="24"/>
          <w:szCs w:val="24"/>
        </w:rPr>
      </w:pPr>
      <w:r w:rsidRPr="00BD326C">
        <w:rPr>
          <w:rFonts w:ascii="Times New Roman" w:hAnsi="Times New Roman" w:cs="Times New Roman"/>
          <w:color w:val="000000"/>
          <w:sz w:val="24"/>
          <w:szCs w:val="24"/>
        </w:rPr>
        <w:t xml:space="preserve">il rafforzamento delle responsabilità dirigenziali e la riforma della contrattazione collettiva, volta a chiarire gli ambiti di competenza rispettivi dell’amministrazione e della contrattazione; </w:t>
      </w:r>
    </w:p>
    <w:p w:rsidR="0093125D" w:rsidRPr="00BD326C" w:rsidRDefault="0093125D" w:rsidP="003D4A78">
      <w:pPr>
        <w:numPr>
          <w:ilvl w:val="0"/>
          <w:numId w:val="1"/>
        </w:numPr>
        <w:spacing w:before="100" w:beforeAutospacing="1" w:after="100" w:afterAutospacing="1" w:line="300" w:lineRule="atLeast"/>
        <w:jc w:val="both"/>
        <w:rPr>
          <w:rFonts w:ascii="Times New Roman" w:hAnsi="Times New Roman" w:cs="Times New Roman"/>
          <w:color w:val="000000"/>
          <w:sz w:val="24"/>
          <w:szCs w:val="24"/>
        </w:rPr>
      </w:pPr>
      <w:r w:rsidRPr="00BD326C">
        <w:rPr>
          <w:rFonts w:ascii="Times New Roman" w:hAnsi="Times New Roman" w:cs="Times New Roman"/>
          <w:color w:val="000000"/>
          <w:sz w:val="24"/>
          <w:szCs w:val="24"/>
        </w:rPr>
        <w:t xml:space="preserve">una procedura semplificata per le sanzioni disciplinari, con la definizione di un catalogo di infrazioni particolarmente gravi assoggettate al licenziamento. </w:t>
      </w:r>
    </w:p>
    <w:p w:rsidR="0093125D" w:rsidRPr="00BD326C" w:rsidRDefault="0093125D" w:rsidP="003D4A78">
      <w:pPr>
        <w:spacing w:before="180" w:after="180" w:line="300" w:lineRule="atLeast"/>
        <w:jc w:val="both"/>
        <w:rPr>
          <w:rFonts w:ascii="Times New Roman" w:hAnsi="Times New Roman" w:cs="Times New Roman"/>
          <w:color w:val="000000"/>
          <w:sz w:val="24"/>
          <w:szCs w:val="24"/>
        </w:rPr>
      </w:pPr>
      <w:r w:rsidRPr="00BD326C">
        <w:rPr>
          <w:rFonts w:ascii="Times New Roman" w:hAnsi="Times New Roman" w:cs="Times New Roman"/>
          <w:color w:val="000000"/>
          <w:sz w:val="24"/>
          <w:szCs w:val="24"/>
        </w:rPr>
        <w:t xml:space="preserve">Il decreto  suddetto consente inoltre  alle amministrazioni pubbliche di organizzare il proprio lavoro in un’ottica di miglioramento continuo. A questo fine, è prevista l’introduzione di una </w:t>
      </w:r>
      <w:r>
        <w:rPr>
          <w:rFonts w:ascii="Times New Roman" w:hAnsi="Times New Roman" w:cs="Times New Roman"/>
          <w:color w:val="000000"/>
          <w:sz w:val="24"/>
          <w:szCs w:val="24"/>
        </w:rPr>
        <w:t>p</w:t>
      </w:r>
      <w:r w:rsidRPr="00BD326C">
        <w:rPr>
          <w:rFonts w:ascii="Times New Roman" w:hAnsi="Times New Roman" w:cs="Times New Roman"/>
          <w:color w:val="000000"/>
          <w:sz w:val="24"/>
          <w:szCs w:val="24"/>
        </w:rPr>
        <w:t>ianificazione triennale degli obiettivi e delle azioni strategiche. Per produrre un miglioramento tangibile e garantire una trasparenza dei risultati, il ciclo di gestione della performance offre alle amministrazioni un quadro di azione che realizza il passaggio dalla logica dei mezzi (input) a quella dei</w:t>
      </w:r>
      <w:r>
        <w:rPr>
          <w:rFonts w:ascii="Times New Roman" w:hAnsi="Times New Roman" w:cs="Times New Roman"/>
          <w:color w:val="000000"/>
          <w:sz w:val="24"/>
          <w:szCs w:val="24"/>
        </w:rPr>
        <w:t xml:space="preserve"> </w:t>
      </w:r>
      <w:r w:rsidRPr="00BD326C">
        <w:rPr>
          <w:rFonts w:ascii="Times New Roman" w:hAnsi="Times New Roman" w:cs="Times New Roman"/>
          <w:color w:val="000000"/>
          <w:sz w:val="24"/>
          <w:szCs w:val="24"/>
        </w:rPr>
        <w:t>risultati</w:t>
      </w:r>
      <w:r>
        <w:rPr>
          <w:rFonts w:ascii="Times New Roman" w:hAnsi="Times New Roman" w:cs="Times New Roman"/>
          <w:color w:val="000000"/>
          <w:sz w:val="24"/>
          <w:szCs w:val="24"/>
        </w:rPr>
        <w:t xml:space="preserve"> </w:t>
      </w:r>
      <w:r w:rsidRPr="00BD326C">
        <w:rPr>
          <w:rFonts w:ascii="Times New Roman" w:hAnsi="Times New Roman" w:cs="Times New Roman"/>
          <w:color w:val="000000"/>
          <w:sz w:val="24"/>
          <w:szCs w:val="24"/>
        </w:rPr>
        <w:t>(output</w:t>
      </w:r>
      <w:r>
        <w:rPr>
          <w:rFonts w:ascii="Times New Roman" w:hAnsi="Times New Roman" w:cs="Times New Roman"/>
          <w:color w:val="000000"/>
          <w:sz w:val="24"/>
          <w:szCs w:val="24"/>
        </w:rPr>
        <w:t xml:space="preserve"> ed </w:t>
      </w:r>
      <w:r w:rsidRPr="00BD326C">
        <w:rPr>
          <w:rFonts w:ascii="Times New Roman" w:hAnsi="Times New Roman" w:cs="Times New Roman"/>
          <w:color w:val="000000"/>
          <w:sz w:val="24"/>
          <w:szCs w:val="24"/>
        </w:rPr>
        <w:t>outcome).</w:t>
      </w:r>
      <w:r w:rsidRPr="00BD326C">
        <w:rPr>
          <w:rFonts w:ascii="Times New Roman" w:hAnsi="Times New Roman" w:cs="Times New Roman"/>
          <w:color w:val="000000"/>
          <w:sz w:val="24"/>
          <w:szCs w:val="24"/>
        </w:rPr>
        <w:br/>
        <w:t> </w:t>
      </w:r>
      <w:r w:rsidRPr="00BD326C">
        <w:rPr>
          <w:rFonts w:ascii="Times New Roman" w:hAnsi="Times New Roman" w:cs="Times New Roman"/>
          <w:color w:val="000000"/>
          <w:sz w:val="24"/>
          <w:szCs w:val="24"/>
        </w:rPr>
        <w:br/>
        <w:t>Per facilitare questo passaggio, il decreto definisce una serie di azioni:</w:t>
      </w:r>
    </w:p>
    <w:p w:rsidR="0093125D" w:rsidRPr="00BD326C" w:rsidRDefault="0093125D" w:rsidP="005D0CA2">
      <w:pPr>
        <w:numPr>
          <w:ilvl w:val="0"/>
          <w:numId w:val="2"/>
        </w:numPr>
        <w:spacing w:before="100" w:beforeAutospacing="1" w:after="100" w:afterAutospacing="1" w:line="300" w:lineRule="atLeast"/>
        <w:jc w:val="both"/>
        <w:rPr>
          <w:rFonts w:ascii="Times New Roman" w:hAnsi="Times New Roman" w:cs="Times New Roman"/>
          <w:color w:val="000000"/>
          <w:sz w:val="24"/>
          <w:szCs w:val="24"/>
        </w:rPr>
      </w:pPr>
      <w:r w:rsidRPr="00BD326C">
        <w:rPr>
          <w:rFonts w:ascii="Times New Roman" w:hAnsi="Times New Roman" w:cs="Times New Roman"/>
          <w:color w:val="000000"/>
          <w:sz w:val="24"/>
          <w:szCs w:val="24"/>
        </w:rPr>
        <w:t>Le amministrazioni redigono un Piano triennale di performance, nel quale vengono elencati gli obiettivi strategici e quelli operativi, nonché le azioni specifiche di miglioramento. L’obbligo di fissare obiettivi misurabili e sfidanti su varie dimensioni di performance (efficienza, customer satisfaction, modernizzazione, qualità delle relazioni con i cittadini), costituisce una delle sfide della riforma, perché mette il cittadino al centro della programmazione (customer satisfaction) e della rendicontazione (trasparenza);  </w:t>
      </w:r>
    </w:p>
    <w:p w:rsidR="0093125D" w:rsidRPr="00BD326C" w:rsidRDefault="0093125D" w:rsidP="005D0CA2">
      <w:pPr>
        <w:numPr>
          <w:ilvl w:val="0"/>
          <w:numId w:val="2"/>
        </w:numPr>
        <w:spacing w:before="180" w:beforeAutospacing="1" w:after="180" w:afterAutospacing="1" w:line="300" w:lineRule="atLeast"/>
        <w:jc w:val="both"/>
        <w:rPr>
          <w:rFonts w:ascii="Times New Roman" w:hAnsi="Times New Roman" w:cs="Times New Roman"/>
          <w:color w:val="000000"/>
          <w:sz w:val="24"/>
          <w:szCs w:val="24"/>
        </w:rPr>
      </w:pPr>
      <w:r w:rsidRPr="00BD326C">
        <w:rPr>
          <w:rFonts w:ascii="Times New Roman" w:hAnsi="Times New Roman" w:cs="Times New Roman"/>
          <w:color w:val="000000"/>
          <w:sz w:val="24"/>
          <w:szCs w:val="24"/>
        </w:rPr>
        <w:t>Annualmente, le amministrazioni presentano una relazione sui risultati conseguiti, evidenziando gli obiettivi raggiunti e motivando gli scostamenti, il tutto nel rispetto del principio di trasparenza che implica il coinvolgimento di cittadini e stakeholders in momenti di incontro. </w:t>
      </w:r>
    </w:p>
    <w:p w:rsidR="0093125D" w:rsidRPr="00BD326C" w:rsidRDefault="0093125D" w:rsidP="005D0CA2">
      <w:pPr>
        <w:numPr>
          <w:ilvl w:val="0"/>
          <w:numId w:val="2"/>
        </w:numPr>
        <w:spacing w:before="100" w:beforeAutospacing="1" w:after="100" w:afterAutospacing="1" w:line="300" w:lineRule="atLeast"/>
        <w:jc w:val="both"/>
        <w:rPr>
          <w:rFonts w:ascii="Times New Roman" w:hAnsi="Times New Roman" w:cs="Times New Roman"/>
          <w:color w:val="000000"/>
          <w:sz w:val="24"/>
          <w:szCs w:val="24"/>
        </w:rPr>
      </w:pPr>
      <w:r w:rsidRPr="00BD326C">
        <w:rPr>
          <w:rFonts w:ascii="Times New Roman" w:hAnsi="Times New Roman" w:cs="Times New Roman"/>
          <w:color w:val="000000"/>
          <w:sz w:val="24"/>
          <w:szCs w:val="24"/>
        </w:rPr>
        <w:t xml:space="preserve">Una correlazione forte tra performance delle organizzazioni e performance dei dirigenti e dei dipendenti. In sintesi, non si possono avere amministrazioni carenti e dirigenti e dipendenti eccellenti. È importante rilevare che il decreto prevede che gli obiettivi possano essere assegnati anche a più dipendenti, in modo tale da garantire uno spirito di coesione ed un lavoro di squadra laddove i processi amministrativi coinvolgono più strutture all’interno di una stessa amministrazione. </w:t>
      </w:r>
    </w:p>
    <w:p w:rsidR="0093125D" w:rsidRPr="00BD326C" w:rsidRDefault="0093125D" w:rsidP="005D0CA2">
      <w:pPr>
        <w:spacing w:before="180" w:after="180" w:line="300" w:lineRule="atLeast"/>
        <w:jc w:val="both"/>
        <w:rPr>
          <w:rFonts w:ascii="Times New Roman" w:hAnsi="Times New Roman" w:cs="Times New Roman"/>
          <w:color w:val="000000"/>
          <w:sz w:val="24"/>
          <w:szCs w:val="24"/>
        </w:rPr>
      </w:pPr>
      <w:r w:rsidRPr="00BD326C">
        <w:rPr>
          <w:rFonts w:ascii="Times New Roman" w:hAnsi="Times New Roman" w:cs="Times New Roman"/>
          <w:color w:val="000000"/>
          <w:sz w:val="24"/>
          <w:szCs w:val="24"/>
        </w:rPr>
        <w:t>Premesso quanto sopra  si è ritenuto necessario procedere innanzitutto alla riorganizzazione regolamentare degli uffici e servizi, allo scopo di rendere  l’attività normativa di regolazione  conforme al dettato della nuova riforma, alla rilevazione dell’attività   di gestione  mediante schede analitiche in cui è  possibile  non solo la lettura per programmi ed obiettivi ma anche la comparabilità di risultati e la previsione  di strumenti di misurazione di tali obiettivi e di valutazione finale  in relazione alla quantità e qualità dei risultati raggiunti;</w:t>
      </w:r>
    </w:p>
    <w:p w:rsidR="0093125D" w:rsidRPr="00BD326C" w:rsidRDefault="0093125D" w:rsidP="005D0CA2">
      <w:pPr>
        <w:spacing w:before="180" w:after="180" w:line="300" w:lineRule="atLeast"/>
        <w:jc w:val="both"/>
        <w:rPr>
          <w:rFonts w:ascii="Times New Roman" w:hAnsi="Times New Roman" w:cs="Times New Roman"/>
          <w:color w:val="000000"/>
          <w:sz w:val="24"/>
          <w:szCs w:val="24"/>
        </w:rPr>
      </w:pPr>
      <w:r w:rsidRPr="00BD326C">
        <w:rPr>
          <w:rFonts w:ascii="Times New Roman" w:hAnsi="Times New Roman" w:cs="Times New Roman"/>
          <w:color w:val="000000"/>
          <w:sz w:val="24"/>
          <w:szCs w:val="24"/>
        </w:rPr>
        <w:t>Ritenuto pertanto nell’ottica di adeguarsi ai principi  riformatori avviare  il percorso metodologico finalizzato ad attuare  quel processo di miglioramento continuo auspicato dalla riforma, avviando per  prima  azione  l’esatta individuazione dei servizi erogati attraverso la riorganizza</w:t>
      </w:r>
      <w:r>
        <w:rPr>
          <w:rFonts w:ascii="Times New Roman" w:hAnsi="Times New Roman" w:cs="Times New Roman"/>
          <w:color w:val="000000"/>
          <w:sz w:val="24"/>
          <w:szCs w:val="24"/>
        </w:rPr>
        <w:t>zione  della struttura comunale.</w:t>
      </w:r>
    </w:p>
    <w:p w:rsidR="0093125D" w:rsidRDefault="0093125D" w:rsidP="005D0CA2">
      <w:p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color w:val="000000"/>
          <w:sz w:val="24"/>
          <w:szCs w:val="24"/>
        </w:rPr>
        <w:t>Ritenuto</w:t>
      </w:r>
      <w:r>
        <w:rPr>
          <w:rFonts w:ascii="Times New Roman" w:hAnsi="Times New Roman" w:cs="Times New Roman"/>
          <w:color w:val="000000"/>
          <w:sz w:val="24"/>
          <w:szCs w:val="24"/>
        </w:rPr>
        <w:t>,</w:t>
      </w:r>
      <w:r w:rsidRPr="00BD326C">
        <w:rPr>
          <w:rFonts w:ascii="Times New Roman" w:hAnsi="Times New Roman" w:cs="Times New Roman"/>
          <w:color w:val="000000"/>
          <w:sz w:val="24"/>
          <w:szCs w:val="24"/>
        </w:rPr>
        <w:t xml:space="preserve"> pertanto</w:t>
      </w:r>
      <w:r>
        <w:rPr>
          <w:rFonts w:ascii="Times New Roman" w:hAnsi="Times New Roman" w:cs="Times New Roman"/>
          <w:color w:val="000000"/>
          <w:sz w:val="24"/>
          <w:szCs w:val="24"/>
        </w:rPr>
        <w:t>,</w:t>
      </w:r>
      <w:r w:rsidRPr="00BD326C">
        <w:rPr>
          <w:rFonts w:ascii="Times New Roman" w:hAnsi="Times New Roman" w:cs="Times New Roman"/>
          <w:color w:val="000000"/>
          <w:sz w:val="24"/>
          <w:szCs w:val="24"/>
        </w:rPr>
        <w:t xml:space="preserve"> alla luce di quanto premesso</w:t>
      </w:r>
      <w:r>
        <w:rPr>
          <w:rFonts w:ascii="Times New Roman" w:hAnsi="Times New Roman" w:cs="Times New Roman"/>
          <w:color w:val="000000"/>
          <w:sz w:val="24"/>
          <w:szCs w:val="24"/>
        </w:rPr>
        <w:t>,</w:t>
      </w:r>
      <w:r w:rsidRPr="00BD326C">
        <w:rPr>
          <w:rFonts w:ascii="Times New Roman" w:hAnsi="Times New Roman" w:cs="Times New Roman"/>
          <w:color w:val="000000"/>
          <w:sz w:val="24"/>
          <w:szCs w:val="24"/>
        </w:rPr>
        <w:t xml:space="preserve"> procedere all’analisi di funzioni e competenze  delle posizioni dirigenziali e delle posizioni organizzative per poter dare avvio a quel processo di valutazione che costituisce  punto focale nella riforma. A tal fine e’  indispensabile la valutazione del peso delle posizioni dirigenziali  e delle posizioni organizzative  attraverso la rilevazione delle competenze necessarie e la rilevazione delle competenze possedute,  risultanti da schede personali  </w:t>
      </w:r>
      <w:r w:rsidRPr="00BD326C">
        <w:rPr>
          <w:rFonts w:ascii="Times New Roman" w:hAnsi="Times New Roman" w:cs="Times New Roman"/>
          <w:sz w:val="24"/>
          <w:szCs w:val="24"/>
        </w:rPr>
        <w:t>che evidenziano  le caratteristiche e i risultati maggiormente innovativi.</w:t>
      </w:r>
    </w:p>
    <w:p w:rsidR="0093125D" w:rsidRPr="00BD326C" w:rsidRDefault="0093125D" w:rsidP="005D0CA2">
      <w:pPr>
        <w:autoSpaceDE w:val="0"/>
        <w:autoSpaceDN w:val="0"/>
        <w:adjustRightInd w:val="0"/>
        <w:spacing w:after="0" w:line="240" w:lineRule="auto"/>
        <w:jc w:val="both"/>
        <w:rPr>
          <w:rFonts w:ascii="Times New Roman" w:hAnsi="Times New Roman" w:cs="Times New Roman"/>
          <w:sz w:val="24"/>
          <w:szCs w:val="24"/>
        </w:rPr>
      </w:pPr>
    </w:p>
    <w:p w:rsidR="0093125D" w:rsidRPr="00BD326C" w:rsidRDefault="0093125D" w:rsidP="005D0CA2">
      <w:p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La metodologia per la determinazione della retribuzione di posizione e’ stata determinata con atto della G.C. n. 27 del 16.01.2002</w:t>
      </w:r>
      <w:r>
        <w:rPr>
          <w:rFonts w:ascii="Times New Roman" w:hAnsi="Times New Roman" w:cs="Times New Roman"/>
          <w:sz w:val="24"/>
          <w:szCs w:val="24"/>
        </w:rPr>
        <w:t>,</w:t>
      </w:r>
      <w:r w:rsidRPr="00BD326C">
        <w:rPr>
          <w:rFonts w:ascii="Times New Roman" w:hAnsi="Times New Roman" w:cs="Times New Roman"/>
          <w:sz w:val="24"/>
          <w:szCs w:val="24"/>
        </w:rPr>
        <w:t xml:space="preserve"> con il quale si e’ preso atto dei criteri di  determinazione della retribuzione di posizione e di risultato  della dirigenza, criteri tenuti presente nella definizione del nuovo percorso valutativo</w:t>
      </w:r>
      <w:r>
        <w:rPr>
          <w:rFonts w:ascii="Times New Roman" w:hAnsi="Times New Roman" w:cs="Times New Roman"/>
          <w:sz w:val="24"/>
          <w:szCs w:val="24"/>
        </w:rPr>
        <w:t>.</w:t>
      </w:r>
    </w:p>
    <w:p w:rsidR="0093125D" w:rsidRPr="005D0CA2" w:rsidRDefault="0093125D" w:rsidP="005D0CA2">
      <w:pPr>
        <w:autoSpaceDE w:val="0"/>
        <w:autoSpaceDN w:val="0"/>
        <w:adjustRightInd w:val="0"/>
        <w:spacing w:after="0" w:line="240" w:lineRule="auto"/>
        <w:jc w:val="both"/>
        <w:rPr>
          <w:rFonts w:ascii="Arial" w:hAnsi="Arial" w:cs="Arial"/>
          <w:sz w:val="18"/>
          <w:szCs w:val="18"/>
        </w:rPr>
      </w:pPr>
    </w:p>
    <w:p w:rsidR="0093125D" w:rsidRPr="00BD326C" w:rsidRDefault="0093125D" w:rsidP="005D0CA2">
      <w:p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 xml:space="preserve"> Il processo di identificazione e di descrizione delle posizioni organizzative, la cui area è stata istituita nell’anno 2000  con delibera della G. C.  n°214  del 9 Maggio 2000 si è svolta attraverso le seguenti fasi:</w:t>
      </w:r>
    </w:p>
    <w:p w:rsidR="0093125D" w:rsidRPr="00BD326C" w:rsidRDefault="0093125D" w:rsidP="005D0CA2">
      <w:pPr>
        <w:autoSpaceDE w:val="0"/>
        <w:autoSpaceDN w:val="0"/>
        <w:adjustRightInd w:val="0"/>
        <w:spacing w:after="0" w:line="240" w:lineRule="auto"/>
        <w:jc w:val="both"/>
        <w:rPr>
          <w:rFonts w:ascii="Times New Roman" w:hAnsi="Times New Roman" w:cs="Times New Roman"/>
          <w:sz w:val="24"/>
          <w:szCs w:val="24"/>
        </w:rPr>
      </w:pPr>
    </w:p>
    <w:p w:rsidR="0093125D" w:rsidRPr="00BD326C" w:rsidRDefault="0093125D" w:rsidP="00BD326C">
      <w:pPr>
        <w:pStyle w:val="ListParagraph"/>
        <w:numPr>
          <w:ilvl w:val="1"/>
          <w:numId w:val="1"/>
        </w:num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Analisi organizzativa tra  Direttori, con il supporto e l’assistenza del  Nucleo di valutazione per definire il numero e la missione delle posizioni organizzative relative a ciascuna struttura. Le Posizioni Organizzative,</w:t>
      </w:r>
      <w:r>
        <w:rPr>
          <w:rFonts w:ascii="Times New Roman" w:hAnsi="Times New Roman" w:cs="Times New Roman"/>
          <w:sz w:val="24"/>
          <w:szCs w:val="24"/>
        </w:rPr>
        <w:t xml:space="preserve"> </w:t>
      </w:r>
      <w:r w:rsidRPr="00BD326C">
        <w:rPr>
          <w:rFonts w:ascii="Times New Roman" w:hAnsi="Times New Roman" w:cs="Times New Roman"/>
          <w:sz w:val="24"/>
          <w:szCs w:val="24"/>
        </w:rPr>
        <w:t>attualmente sono n</w:t>
      </w:r>
      <w:r>
        <w:rPr>
          <w:rFonts w:ascii="Times New Roman" w:hAnsi="Times New Roman" w:cs="Times New Roman"/>
          <w:sz w:val="24"/>
          <w:szCs w:val="24"/>
        </w:rPr>
        <w:t>.</w:t>
      </w:r>
      <w:r w:rsidRPr="00BD326C">
        <w:rPr>
          <w:rFonts w:ascii="Times New Roman" w:hAnsi="Times New Roman" w:cs="Times New Roman"/>
          <w:sz w:val="24"/>
          <w:szCs w:val="24"/>
        </w:rPr>
        <w:t xml:space="preserve"> 14</w:t>
      </w:r>
      <w:r>
        <w:rPr>
          <w:rFonts w:ascii="Times New Roman" w:hAnsi="Times New Roman" w:cs="Times New Roman"/>
          <w:sz w:val="24"/>
          <w:szCs w:val="24"/>
        </w:rPr>
        <w:t>,</w:t>
      </w:r>
      <w:r w:rsidRPr="00BD326C">
        <w:rPr>
          <w:rFonts w:ascii="Times New Roman" w:hAnsi="Times New Roman" w:cs="Times New Roman"/>
          <w:sz w:val="24"/>
          <w:szCs w:val="24"/>
        </w:rPr>
        <w:t xml:space="preserve">  mentre le Posizioni Dirigenziali sono n</w:t>
      </w:r>
      <w:r>
        <w:rPr>
          <w:rFonts w:ascii="Times New Roman" w:hAnsi="Times New Roman" w:cs="Times New Roman"/>
          <w:sz w:val="24"/>
          <w:szCs w:val="24"/>
        </w:rPr>
        <w:t>.</w:t>
      </w:r>
      <w:r w:rsidRPr="00BD326C">
        <w:rPr>
          <w:rFonts w:ascii="Times New Roman" w:hAnsi="Times New Roman" w:cs="Times New Roman"/>
          <w:sz w:val="24"/>
          <w:szCs w:val="24"/>
        </w:rPr>
        <w:t xml:space="preserve"> 7</w:t>
      </w:r>
      <w:r>
        <w:rPr>
          <w:rFonts w:ascii="Times New Roman" w:hAnsi="Times New Roman" w:cs="Times New Roman"/>
          <w:sz w:val="24"/>
          <w:szCs w:val="24"/>
        </w:rPr>
        <w:t>;</w:t>
      </w:r>
    </w:p>
    <w:p w:rsidR="0093125D" w:rsidRPr="00BD326C" w:rsidRDefault="0093125D" w:rsidP="005D0CA2">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93125D" w:rsidRPr="00BD326C" w:rsidRDefault="0093125D" w:rsidP="00BD326C">
      <w:p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2)  Definizione, per ciascuna P.O., del profilo del candidato ideale.</w:t>
      </w:r>
    </w:p>
    <w:p w:rsidR="0093125D" w:rsidRDefault="0093125D" w:rsidP="005D0CA2">
      <w:pPr>
        <w:autoSpaceDE w:val="0"/>
        <w:autoSpaceDN w:val="0"/>
        <w:adjustRightInd w:val="0"/>
        <w:spacing w:after="0" w:line="240" w:lineRule="auto"/>
        <w:jc w:val="both"/>
        <w:rPr>
          <w:rFonts w:ascii="Arial" w:hAnsi="Arial" w:cs="Arial"/>
          <w:sz w:val="18"/>
          <w:szCs w:val="18"/>
        </w:rPr>
      </w:pPr>
    </w:p>
    <w:p w:rsidR="0093125D" w:rsidRPr="00BD326C" w:rsidRDefault="0093125D" w:rsidP="00BD326C">
      <w:p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Da questa fondamentale fase  si è dato inizio all’incrocio tra descrizione ideale delle posizioni e valutazione delle competenze effettivamente possedute dai loro titolari.</w:t>
      </w:r>
    </w:p>
    <w:p w:rsidR="0093125D" w:rsidRPr="00BD326C" w:rsidRDefault="0093125D" w:rsidP="00BD326C">
      <w:p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Precisato che   i criteri generali  per l’individuazione e modalità applicative delle posizioni organizzative permangono  cosi come  definiti in sede di istituzione  dell’Area delle posizioni organizzative medesime;</w:t>
      </w:r>
    </w:p>
    <w:p w:rsidR="0093125D" w:rsidRPr="00BD326C" w:rsidRDefault="0093125D" w:rsidP="00BD326C">
      <w:p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La descrizione di tutte le posizioni (organizzative e dirigenziali) è avvenuta da  parte dei responsabili di Settore: le posizioni dirigenziali e le  posizioni organizzative sono state descritte dai Direttori dei settori e analizzate dal Nucleo di valutazione.</w:t>
      </w:r>
    </w:p>
    <w:p w:rsidR="0093125D" w:rsidRPr="00BD326C" w:rsidRDefault="0093125D" w:rsidP="00BD326C">
      <w:p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 xml:space="preserve"> La modulistica utilizzata, pur essendo omogenea per le posizioni dirigenziali e per le posizioni organizzative, cambia al momento della pesatura delle posizioni da cui dipende l’indennità di posizione.</w:t>
      </w:r>
    </w:p>
    <w:p w:rsidR="0093125D" w:rsidRPr="00BD326C" w:rsidRDefault="0093125D" w:rsidP="0011607E">
      <w:p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La posizione, nella scheda descrittiva, viene analizzata allo scopo di</w:t>
      </w:r>
      <w:r>
        <w:rPr>
          <w:rFonts w:ascii="Times New Roman" w:hAnsi="Times New Roman" w:cs="Times New Roman"/>
          <w:sz w:val="24"/>
          <w:szCs w:val="24"/>
        </w:rPr>
        <w:t xml:space="preserve"> </w:t>
      </w:r>
      <w:r w:rsidRPr="00BD326C">
        <w:rPr>
          <w:rFonts w:ascii="Times New Roman" w:hAnsi="Times New Roman" w:cs="Times New Roman"/>
          <w:sz w:val="24"/>
          <w:szCs w:val="24"/>
        </w:rPr>
        <w:t>individuarne contenuti, riferimenti organizzativi e, in particolare, i requisiti professionali</w:t>
      </w:r>
      <w:r>
        <w:rPr>
          <w:rFonts w:ascii="Times New Roman" w:hAnsi="Times New Roman" w:cs="Times New Roman"/>
          <w:sz w:val="24"/>
          <w:szCs w:val="24"/>
        </w:rPr>
        <w:t xml:space="preserve"> </w:t>
      </w:r>
      <w:r w:rsidRPr="00BD326C">
        <w:rPr>
          <w:rFonts w:ascii="Times New Roman" w:hAnsi="Times New Roman" w:cs="Times New Roman"/>
          <w:sz w:val="24"/>
          <w:szCs w:val="24"/>
        </w:rPr>
        <w:t>richiesti al titolare. In parallelo per ogni posizione oggetto di pesatura si tiene conto dei fattori che implicano la complessità della posizione</w:t>
      </w:r>
      <w:r w:rsidRPr="00BD326C">
        <w:rPr>
          <w:rFonts w:ascii="Times New Roman" w:hAnsi="Times New Roman" w:cs="Times New Roman"/>
          <w:color w:val="000000"/>
          <w:sz w:val="24"/>
          <w:szCs w:val="24"/>
        </w:rPr>
        <w:t> </w:t>
      </w:r>
      <w:r w:rsidRPr="00BD326C">
        <w:rPr>
          <w:rFonts w:ascii="Times New Roman" w:hAnsi="Times New Roman" w:cs="Times New Roman"/>
          <w:sz w:val="24"/>
          <w:szCs w:val="24"/>
        </w:rPr>
        <w:t>ed al cui punteggio, risultante dalla compilazione, viene commisurata l’indennità di posizione.</w:t>
      </w:r>
    </w:p>
    <w:p w:rsidR="0093125D" w:rsidRPr="00BD326C" w:rsidRDefault="0093125D" w:rsidP="0011607E">
      <w:p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Il sistema di valutazione del peso delle posizioni dirigenziali ed organizzative si basa su cinque</w:t>
      </w:r>
      <w:r>
        <w:rPr>
          <w:rFonts w:ascii="Times New Roman" w:hAnsi="Times New Roman" w:cs="Times New Roman"/>
          <w:sz w:val="24"/>
          <w:szCs w:val="24"/>
        </w:rPr>
        <w:t xml:space="preserve"> </w:t>
      </w:r>
      <w:r w:rsidRPr="00BD326C">
        <w:rPr>
          <w:rFonts w:ascii="Times New Roman" w:hAnsi="Times New Roman" w:cs="Times New Roman"/>
          <w:sz w:val="24"/>
          <w:szCs w:val="24"/>
        </w:rPr>
        <w:t xml:space="preserve">elementi sintetici  di valutazione: </w:t>
      </w:r>
    </w:p>
    <w:p w:rsidR="0093125D" w:rsidRDefault="0093125D" w:rsidP="00BD326C">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b/>
          <w:bCs/>
          <w:sz w:val="24"/>
          <w:szCs w:val="24"/>
        </w:rPr>
        <w:t xml:space="preserve">il capitale umano, </w:t>
      </w:r>
      <w:r w:rsidRPr="00BD326C">
        <w:rPr>
          <w:rFonts w:ascii="Times New Roman" w:hAnsi="Times New Roman" w:cs="Times New Roman"/>
          <w:sz w:val="24"/>
          <w:szCs w:val="24"/>
        </w:rPr>
        <w:t>che esprime la complessità del lavoro e la quantità</w:t>
      </w:r>
      <w:r>
        <w:rPr>
          <w:rFonts w:ascii="Times New Roman" w:hAnsi="Times New Roman" w:cs="Times New Roman"/>
          <w:sz w:val="24"/>
          <w:szCs w:val="24"/>
        </w:rPr>
        <w:t xml:space="preserve"> delle risorse controllate</w:t>
      </w:r>
    </w:p>
    <w:p w:rsidR="0093125D" w:rsidRDefault="0093125D" w:rsidP="00BD326C">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b/>
          <w:bCs/>
          <w:sz w:val="24"/>
          <w:szCs w:val="24"/>
        </w:rPr>
        <w:t xml:space="preserve">la responsabilità, </w:t>
      </w:r>
      <w:r w:rsidRPr="00BD326C">
        <w:rPr>
          <w:rFonts w:ascii="Times New Roman" w:hAnsi="Times New Roman" w:cs="Times New Roman"/>
          <w:sz w:val="24"/>
          <w:szCs w:val="24"/>
        </w:rPr>
        <w:t>che esamina essenzialmente il rischio che le decisioni</w:t>
      </w:r>
      <w:r>
        <w:rPr>
          <w:rFonts w:ascii="Times New Roman" w:hAnsi="Times New Roman" w:cs="Times New Roman"/>
          <w:sz w:val="24"/>
          <w:szCs w:val="24"/>
        </w:rPr>
        <w:t xml:space="preserve"> </w:t>
      </w:r>
      <w:r w:rsidRPr="00BD326C">
        <w:rPr>
          <w:rFonts w:ascii="Times New Roman" w:hAnsi="Times New Roman" w:cs="Times New Roman"/>
          <w:sz w:val="24"/>
          <w:szCs w:val="24"/>
        </w:rPr>
        <w:t>assun</w:t>
      </w:r>
      <w:r>
        <w:rPr>
          <w:rFonts w:ascii="Times New Roman" w:hAnsi="Times New Roman" w:cs="Times New Roman"/>
          <w:sz w:val="24"/>
          <w:szCs w:val="24"/>
        </w:rPr>
        <w:t>te comportano per chi le prende</w:t>
      </w:r>
    </w:p>
    <w:p w:rsidR="0093125D" w:rsidRDefault="0093125D" w:rsidP="00BD326C">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b/>
          <w:bCs/>
          <w:sz w:val="24"/>
          <w:szCs w:val="24"/>
        </w:rPr>
        <w:t>le decisioni</w:t>
      </w:r>
      <w:r w:rsidRPr="00BD326C">
        <w:rPr>
          <w:rFonts w:ascii="Times New Roman" w:hAnsi="Times New Roman" w:cs="Times New Roman"/>
          <w:sz w:val="24"/>
          <w:szCs w:val="24"/>
        </w:rPr>
        <w:t>, relative ai problemi che i Dirigenti o i Funzionari sono</w:t>
      </w:r>
      <w:r>
        <w:rPr>
          <w:rFonts w:ascii="Times New Roman" w:hAnsi="Times New Roman" w:cs="Times New Roman"/>
          <w:sz w:val="24"/>
          <w:szCs w:val="24"/>
        </w:rPr>
        <w:t xml:space="preserve"> </w:t>
      </w:r>
      <w:r w:rsidRPr="00BD326C">
        <w:rPr>
          <w:rFonts w:ascii="Times New Roman" w:hAnsi="Times New Roman" w:cs="Times New Roman"/>
          <w:sz w:val="24"/>
          <w:szCs w:val="24"/>
        </w:rPr>
        <w:t>chiamati ad affrontare</w:t>
      </w:r>
      <w:r>
        <w:rPr>
          <w:rFonts w:ascii="Times New Roman" w:hAnsi="Times New Roman" w:cs="Times New Roman"/>
          <w:sz w:val="24"/>
          <w:szCs w:val="24"/>
        </w:rPr>
        <w:t xml:space="preserve">  </w:t>
      </w:r>
      <w:r w:rsidRPr="00BD326C">
        <w:rPr>
          <w:rFonts w:ascii="Times New Roman" w:hAnsi="Times New Roman" w:cs="Times New Roman"/>
          <w:sz w:val="24"/>
          <w:szCs w:val="24"/>
        </w:rPr>
        <w:t>(saper fare)</w:t>
      </w:r>
    </w:p>
    <w:p w:rsidR="0093125D" w:rsidRDefault="0093125D" w:rsidP="00BD326C">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b/>
          <w:bCs/>
          <w:sz w:val="24"/>
          <w:szCs w:val="24"/>
        </w:rPr>
        <w:t xml:space="preserve">le relazioni </w:t>
      </w:r>
      <w:r w:rsidRPr="00BD326C">
        <w:rPr>
          <w:rFonts w:ascii="Times New Roman" w:hAnsi="Times New Roman" w:cs="Times New Roman"/>
          <w:sz w:val="24"/>
          <w:szCs w:val="24"/>
        </w:rPr>
        <w:t>con enti interni ed istituzionali che è n</w:t>
      </w:r>
      <w:r>
        <w:rPr>
          <w:rFonts w:ascii="Times New Roman" w:hAnsi="Times New Roman" w:cs="Times New Roman"/>
          <w:sz w:val="24"/>
          <w:szCs w:val="24"/>
        </w:rPr>
        <w:t>ecessario esercitare</w:t>
      </w:r>
    </w:p>
    <w:p w:rsidR="0093125D" w:rsidRDefault="0093125D" w:rsidP="00BD326C">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b/>
          <w:bCs/>
          <w:sz w:val="24"/>
          <w:szCs w:val="24"/>
        </w:rPr>
        <w:t xml:space="preserve">le competenze </w:t>
      </w:r>
      <w:r w:rsidRPr="00BD326C">
        <w:rPr>
          <w:rFonts w:ascii="Times New Roman" w:hAnsi="Times New Roman" w:cs="Times New Roman"/>
          <w:sz w:val="24"/>
          <w:szCs w:val="24"/>
        </w:rPr>
        <w:t>che è necessario possedere(saper essere)</w:t>
      </w:r>
    </w:p>
    <w:p w:rsidR="0093125D" w:rsidRPr="00BD326C" w:rsidRDefault="0093125D" w:rsidP="0011607E">
      <w:pPr>
        <w:autoSpaceDE w:val="0"/>
        <w:autoSpaceDN w:val="0"/>
        <w:adjustRightInd w:val="0"/>
        <w:spacing w:after="0" w:line="240" w:lineRule="auto"/>
        <w:ind w:left="360"/>
        <w:jc w:val="both"/>
        <w:rPr>
          <w:rFonts w:ascii="Times New Roman" w:hAnsi="Times New Roman" w:cs="Times New Roman"/>
          <w:sz w:val="24"/>
          <w:szCs w:val="24"/>
        </w:rPr>
      </w:pPr>
    </w:p>
    <w:p w:rsidR="0093125D" w:rsidRPr="00BD326C" w:rsidRDefault="0093125D" w:rsidP="00BD326C">
      <w:p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Ogni fattore è articolato in sub-fattori. A ciasc</w:t>
      </w:r>
      <w:r>
        <w:rPr>
          <w:rFonts w:ascii="Times New Roman" w:hAnsi="Times New Roman" w:cs="Times New Roman"/>
          <w:sz w:val="24"/>
          <w:szCs w:val="24"/>
        </w:rPr>
        <w:t xml:space="preserve">uno di questi, in relazione alla </w:t>
      </w:r>
      <w:r w:rsidRPr="00BD326C">
        <w:rPr>
          <w:rFonts w:ascii="Times New Roman" w:hAnsi="Times New Roman" w:cs="Times New Roman"/>
          <w:sz w:val="24"/>
          <w:szCs w:val="24"/>
        </w:rPr>
        <w:t>complessità rilevata, si assegna un punteggio ed un peso che sintetizza l’analisi effettuata e il cui</w:t>
      </w:r>
      <w:r>
        <w:rPr>
          <w:rFonts w:ascii="Times New Roman" w:hAnsi="Times New Roman" w:cs="Times New Roman"/>
          <w:sz w:val="24"/>
          <w:szCs w:val="24"/>
        </w:rPr>
        <w:t xml:space="preserve"> </w:t>
      </w:r>
      <w:r w:rsidRPr="00BD326C">
        <w:rPr>
          <w:rFonts w:ascii="Times New Roman" w:hAnsi="Times New Roman" w:cs="Times New Roman"/>
          <w:sz w:val="24"/>
          <w:szCs w:val="24"/>
        </w:rPr>
        <w:t>andamento si articola da un minimo di 300 punti (situazione di minore complessità) a un</w:t>
      </w:r>
      <w:r>
        <w:rPr>
          <w:rFonts w:ascii="Times New Roman" w:hAnsi="Times New Roman" w:cs="Times New Roman"/>
          <w:sz w:val="24"/>
          <w:szCs w:val="24"/>
        </w:rPr>
        <w:t xml:space="preserve"> </w:t>
      </w:r>
      <w:r w:rsidRPr="00BD326C">
        <w:rPr>
          <w:rFonts w:ascii="Times New Roman" w:hAnsi="Times New Roman" w:cs="Times New Roman"/>
          <w:sz w:val="24"/>
          <w:szCs w:val="24"/>
        </w:rPr>
        <w:t>massimo di 800 punti (situazione di maggiore complessità). La somma finale dei punteggi</w:t>
      </w:r>
      <w:r>
        <w:rPr>
          <w:rFonts w:ascii="Times New Roman" w:hAnsi="Times New Roman" w:cs="Times New Roman"/>
          <w:sz w:val="24"/>
          <w:szCs w:val="24"/>
        </w:rPr>
        <w:t xml:space="preserve"> </w:t>
      </w:r>
      <w:r w:rsidRPr="00BD326C">
        <w:rPr>
          <w:rFonts w:ascii="Times New Roman" w:hAnsi="Times New Roman" w:cs="Times New Roman"/>
          <w:sz w:val="24"/>
          <w:szCs w:val="24"/>
        </w:rPr>
        <w:t>rappresenta il peso della posizione valutata.</w:t>
      </w:r>
    </w:p>
    <w:p w:rsidR="0093125D" w:rsidRDefault="0093125D" w:rsidP="00BD326C">
      <w:pPr>
        <w:autoSpaceDE w:val="0"/>
        <w:autoSpaceDN w:val="0"/>
        <w:adjustRightInd w:val="0"/>
        <w:spacing w:after="0" w:line="240" w:lineRule="auto"/>
        <w:jc w:val="both"/>
        <w:rPr>
          <w:rFonts w:ascii="Times New Roman" w:hAnsi="Times New Roman" w:cs="Times New Roman"/>
          <w:sz w:val="24"/>
          <w:szCs w:val="24"/>
        </w:rPr>
      </w:pPr>
    </w:p>
    <w:p w:rsidR="0093125D" w:rsidRPr="00BD326C" w:rsidRDefault="0093125D" w:rsidP="00BD326C">
      <w:p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Premesso che si ritiene opportuno articolare</w:t>
      </w:r>
      <w:r>
        <w:rPr>
          <w:rFonts w:ascii="Times New Roman" w:hAnsi="Times New Roman" w:cs="Times New Roman"/>
          <w:sz w:val="24"/>
          <w:szCs w:val="24"/>
        </w:rPr>
        <w:t xml:space="preserve"> le posizioni dirigenziali in n.</w:t>
      </w:r>
      <w:r w:rsidRPr="00BD326C">
        <w:rPr>
          <w:rFonts w:ascii="Times New Roman" w:hAnsi="Times New Roman" w:cs="Times New Roman"/>
          <w:sz w:val="24"/>
          <w:szCs w:val="24"/>
        </w:rPr>
        <w:t xml:space="preserve"> 2 fasce economiche,  i pesi delle singole posizioni dirigenziali sono compresi fra 1.200,00 e 1.589,00 punti e</w:t>
      </w:r>
      <w:r>
        <w:rPr>
          <w:rFonts w:ascii="Times New Roman" w:hAnsi="Times New Roman" w:cs="Times New Roman"/>
          <w:sz w:val="24"/>
          <w:szCs w:val="24"/>
        </w:rPr>
        <w:t xml:space="preserve"> </w:t>
      </w:r>
      <w:r w:rsidRPr="00BD326C">
        <w:rPr>
          <w:rFonts w:ascii="Times New Roman" w:hAnsi="Times New Roman" w:cs="Times New Roman"/>
          <w:sz w:val="24"/>
          <w:szCs w:val="24"/>
        </w:rPr>
        <w:t>determinano, attraverso l’applicazione dei criteri prescelti di valorizzazione, l’indennità di</w:t>
      </w:r>
      <w:r>
        <w:rPr>
          <w:rFonts w:ascii="Times New Roman" w:hAnsi="Times New Roman" w:cs="Times New Roman"/>
          <w:sz w:val="24"/>
          <w:szCs w:val="24"/>
        </w:rPr>
        <w:t xml:space="preserve"> </w:t>
      </w:r>
      <w:r w:rsidRPr="00BD326C">
        <w:rPr>
          <w:rFonts w:ascii="Times New Roman" w:hAnsi="Times New Roman" w:cs="Times New Roman"/>
          <w:sz w:val="24"/>
          <w:szCs w:val="24"/>
        </w:rPr>
        <w:t>posizione di riferimento  per ciascuna posizione, come si indica:</w:t>
      </w:r>
    </w:p>
    <w:p w:rsidR="0093125D" w:rsidRPr="00BD326C" w:rsidRDefault="0093125D" w:rsidP="00BD326C">
      <w:p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per punteggio conseguito fino a 89,99%   €.</w:t>
      </w:r>
      <w:r>
        <w:rPr>
          <w:rFonts w:ascii="Times New Roman" w:hAnsi="Times New Roman" w:cs="Times New Roman"/>
          <w:sz w:val="24"/>
          <w:szCs w:val="24"/>
        </w:rPr>
        <w:t xml:space="preserve"> </w:t>
      </w:r>
      <w:r w:rsidRPr="00BD326C">
        <w:rPr>
          <w:rFonts w:ascii="Times New Roman" w:hAnsi="Times New Roman" w:cs="Times New Roman"/>
          <w:sz w:val="24"/>
          <w:szCs w:val="24"/>
        </w:rPr>
        <w:t>32.000,00</w:t>
      </w:r>
    </w:p>
    <w:p w:rsidR="0093125D" w:rsidRPr="00BD326C" w:rsidRDefault="0093125D" w:rsidP="00BD326C">
      <w:p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 xml:space="preserve">per punteggio conseguito oltre </w:t>
      </w:r>
      <w:r>
        <w:rPr>
          <w:rFonts w:ascii="Times New Roman" w:hAnsi="Times New Roman" w:cs="Times New Roman"/>
          <w:sz w:val="24"/>
          <w:szCs w:val="24"/>
        </w:rPr>
        <w:t xml:space="preserve">       90%  </w:t>
      </w:r>
      <w:r w:rsidRPr="00BD32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326C">
        <w:rPr>
          <w:rFonts w:ascii="Times New Roman" w:hAnsi="Times New Roman" w:cs="Times New Roman"/>
          <w:sz w:val="24"/>
          <w:szCs w:val="24"/>
        </w:rPr>
        <w:t>35.000,00</w:t>
      </w:r>
    </w:p>
    <w:p w:rsidR="0093125D" w:rsidRDefault="0093125D" w:rsidP="00BD326C">
      <w:pPr>
        <w:autoSpaceDE w:val="0"/>
        <w:autoSpaceDN w:val="0"/>
        <w:adjustRightInd w:val="0"/>
        <w:spacing w:after="0" w:line="240" w:lineRule="auto"/>
        <w:jc w:val="both"/>
        <w:rPr>
          <w:rFonts w:ascii="Times New Roman" w:hAnsi="Times New Roman" w:cs="Times New Roman"/>
          <w:sz w:val="24"/>
          <w:szCs w:val="24"/>
        </w:rPr>
      </w:pPr>
    </w:p>
    <w:p w:rsidR="0093125D" w:rsidRPr="00E2349A" w:rsidRDefault="0093125D" w:rsidP="00BD326C">
      <w:pPr>
        <w:autoSpaceDE w:val="0"/>
        <w:autoSpaceDN w:val="0"/>
        <w:adjustRightInd w:val="0"/>
        <w:spacing w:after="0" w:line="240" w:lineRule="auto"/>
        <w:jc w:val="both"/>
        <w:rPr>
          <w:rFonts w:ascii="Times New Roman" w:hAnsi="Times New Roman" w:cs="Times New Roman"/>
          <w:sz w:val="24"/>
          <w:szCs w:val="24"/>
        </w:rPr>
      </w:pPr>
      <w:r w:rsidRPr="00E2349A">
        <w:rPr>
          <w:rFonts w:ascii="Times New Roman" w:hAnsi="Times New Roman" w:cs="Times New Roman"/>
          <w:sz w:val="24"/>
          <w:szCs w:val="24"/>
        </w:rPr>
        <w:t>I pesi delle singole posizioni organizzative determinano, attraverso l’applicazione dei criteri prescelti di valorizzazione, l’indennità di posizione di riferimento  per ciascuna posizione valutata.</w:t>
      </w:r>
    </w:p>
    <w:p w:rsidR="0093125D" w:rsidRPr="00E2349A" w:rsidRDefault="0093125D" w:rsidP="00BD326C">
      <w:pPr>
        <w:autoSpaceDE w:val="0"/>
        <w:autoSpaceDN w:val="0"/>
        <w:adjustRightInd w:val="0"/>
        <w:spacing w:after="0" w:line="240" w:lineRule="auto"/>
        <w:jc w:val="both"/>
        <w:rPr>
          <w:rFonts w:ascii="Times New Roman" w:hAnsi="Times New Roman" w:cs="Times New Roman"/>
          <w:sz w:val="20"/>
          <w:szCs w:val="20"/>
        </w:rPr>
      </w:pPr>
    </w:p>
    <w:tbl>
      <w:tblPr>
        <w:tblW w:w="6620" w:type="dxa"/>
        <w:tblInd w:w="70" w:type="dxa"/>
        <w:tblCellMar>
          <w:left w:w="70" w:type="dxa"/>
          <w:right w:w="70" w:type="dxa"/>
        </w:tblCellMar>
        <w:tblLook w:val="00A0"/>
      </w:tblPr>
      <w:tblGrid>
        <w:gridCol w:w="2320"/>
        <w:gridCol w:w="1740"/>
        <w:gridCol w:w="1280"/>
        <w:gridCol w:w="1280"/>
      </w:tblGrid>
      <w:tr w:rsidR="0093125D" w:rsidRPr="00E2349A">
        <w:trPr>
          <w:trHeight w:val="255"/>
        </w:trPr>
        <w:tc>
          <w:tcPr>
            <w:tcW w:w="232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b/>
                <w:bCs/>
                <w:color w:val="FF0000"/>
                <w:sz w:val="20"/>
                <w:szCs w:val="20"/>
              </w:rPr>
            </w:pPr>
          </w:p>
        </w:tc>
        <w:tc>
          <w:tcPr>
            <w:tcW w:w="174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color w:val="FF0000"/>
                <w:sz w:val="20"/>
                <w:szCs w:val="20"/>
              </w:rPr>
            </w:pPr>
          </w:p>
        </w:tc>
        <w:tc>
          <w:tcPr>
            <w:tcW w:w="128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color w:val="FF0000"/>
                <w:sz w:val="20"/>
                <w:szCs w:val="20"/>
              </w:rPr>
            </w:pPr>
          </w:p>
        </w:tc>
        <w:tc>
          <w:tcPr>
            <w:tcW w:w="128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color w:val="FF0000"/>
                <w:sz w:val="20"/>
                <w:szCs w:val="20"/>
              </w:rPr>
            </w:pPr>
          </w:p>
        </w:tc>
      </w:tr>
      <w:tr w:rsidR="0093125D" w:rsidRPr="00E2349A">
        <w:trPr>
          <w:trHeight w:val="255"/>
        </w:trPr>
        <w:tc>
          <w:tcPr>
            <w:tcW w:w="232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b/>
                <w:bCs/>
                <w:sz w:val="20"/>
                <w:szCs w:val="20"/>
              </w:rPr>
            </w:pPr>
            <w:r w:rsidRPr="00E2349A">
              <w:rPr>
                <w:rFonts w:ascii="Times New Roman" w:hAnsi="Times New Roman" w:cs="Times New Roman"/>
                <w:b/>
                <w:bCs/>
                <w:sz w:val="20"/>
                <w:szCs w:val="20"/>
              </w:rPr>
              <w:t xml:space="preserve">Per punteggio </w:t>
            </w:r>
          </w:p>
        </w:tc>
        <w:tc>
          <w:tcPr>
            <w:tcW w:w="174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r w:rsidRPr="00E2349A">
              <w:rPr>
                <w:rFonts w:ascii="Times New Roman" w:hAnsi="Times New Roman" w:cs="Times New Roman"/>
                <w:sz w:val="20"/>
                <w:szCs w:val="20"/>
              </w:rPr>
              <w:t>SUP 95%</w:t>
            </w:r>
          </w:p>
        </w:tc>
        <w:tc>
          <w:tcPr>
            <w:tcW w:w="128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r w:rsidRPr="00E2349A">
              <w:rPr>
                <w:rFonts w:ascii="Times New Roman" w:hAnsi="Times New Roman" w:cs="Times New Roman"/>
                <w:sz w:val="20"/>
                <w:szCs w:val="20"/>
              </w:rPr>
              <w:t xml:space="preserve"> €   9.300,00 </w:t>
            </w:r>
          </w:p>
        </w:tc>
        <w:tc>
          <w:tcPr>
            <w:tcW w:w="128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p>
        </w:tc>
      </w:tr>
      <w:tr w:rsidR="0093125D" w:rsidRPr="00E2349A">
        <w:trPr>
          <w:trHeight w:val="255"/>
        </w:trPr>
        <w:tc>
          <w:tcPr>
            <w:tcW w:w="232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p>
        </w:tc>
        <w:tc>
          <w:tcPr>
            <w:tcW w:w="1740" w:type="dxa"/>
            <w:tcBorders>
              <w:top w:val="nil"/>
              <w:left w:val="nil"/>
              <w:bottom w:val="nil"/>
              <w:right w:val="nil"/>
            </w:tcBorders>
            <w:noWrap/>
            <w:vAlign w:val="bottom"/>
          </w:tcPr>
          <w:p w:rsidR="0093125D" w:rsidRPr="00E2349A" w:rsidRDefault="0093125D" w:rsidP="00CB2429">
            <w:pPr>
              <w:spacing w:after="0" w:line="240" w:lineRule="auto"/>
              <w:rPr>
                <w:rFonts w:ascii="Times New Roman" w:hAnsi="Times New Roman" w:cs="Times New Roman"/>
                <w:sz w:val="20"/>
                <w:szCs w:val="20"/>
              </w:rPr>
            </w:pPr>
            <w:r w:rsidRPr="00E2349A">
              <w:rPr>
                <w:rFonts w:ascii="Times New Roman" w:hAnsi="Times New Roman" w:cs="Times New Roman"/>
                <w:sz w:val="20"/>
                <w:szCs w:val="20"/>
              </w:rPr>
              <w:t>TRA 85% 89,99%</w:t>
            </w:r>
          </w:p>
        </w:tc>
        <w:tc>
          <w:tcPr>
            <w:tcW w:w="128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r w:rsidRPr="00E2349A">
              <w:rPr>
                <w:rFonts w:ascii="Times New Roman" w:hAnsi="Times New Roman" w:cs="Times New Roman"/>
                <w:sz w:val="20"/>
                <w:szCs w:val="20"/>
              </w:rPr>
              <w:t xml:space="preserve"> €   8.700,00 </w:t>
            </w:r>
          </w:p>
        </w:tc>
        <w:tc>
          <w:tcPr>
            <w:tcW w:w="128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p>
        </w:tc>
      </w:tr>
      <w:tr w:rsidR="0093125D" w:rsidRPr="00E2349A">
        <w:trPr>
          <w:trHeight w:val="255"/>
        </w:trPr>
        <w:tc>
          <w:tcPr>
            <w:tcW w:w="232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p>
        </w:tc>
        <w:tc>
          <w:tcPr>
            <w:tcW w:w="1740" w:type="dxa"/>
            <w:tcBorders>
              <w:top w:val="nil"/>
              <w:left w:val="nil"/>
              <w:bottom w:val="nil"/>
              <w:right w:val="nil"/>
            </w:tcBorders>
            <w:noWrap/>
            <w:vAlign w:val="bottom"/>
          </w:tcPr>
          <w:p w:rsidR="0093125D" w:rsidRPr="00E2349A" w:rsidRDefault="0093125D" w:rsidP="00CB2429">
            <w:pPr>
              <w:spacing w:after="0" w:line="240" w:lineRule="auto"/>
              <w:rPr>
                <w:rFonts w:ascii="Times New Roman" w:hAnsi="Times New Roman" w:cs="Times New Roman"/>
                <w:sz w:val="20"/>
                <w:szCs w:val="20"/>
              </w:rPr>
            </w:pPr>
            <w:r w:rsidRPr="00E2349A">
              <w:rPr>
                <w:rFonts w:ascii="Times New Roman" w:hAnsi="Times New Roman" w:cs="Times New Roman"/>
                <w:sz w:val="20"/>
                <w:szCs w:val="20"/>
              </w:rPr>
              <w:t xml:space="preserve">TRA 75% 84,99% </w:t>
            </w:r>
          </w:p>
        </w:tc>
        <w:tc>
          <w:tcPr>
            <w:tcW w:w="128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r w:rsidRPr="00E2349A">
              <w:rPr>
                <w:rFonts w:ascii="Times New Roman" w:hAnsi="Times New Roman" w:cs="Times New Roman"/>
                <w:sz w:val="20"/>
                <w:szCs w:val="20"/>
              </w:rPr>
              <w:t xml:space="preserve"> €   8.300,00 </w:t>
            </w:r>
          </w:p>
        </w:tc>
        <w:tc>
          <w:tcPr>
            <w:tcW w:w="128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p>
        </w:tc>
      </w:tr>
      <w:tr w:rsidR="0093125D" w:rsidRPr="00E2349A">
        <w:trPr>
          <w:trHeight w:val="255"/>
        </w:trPr>
        <w:tc>
          <w:tcPr>
            <w:tcW w:w="232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p>
        </w:tc>
        <w:tc>
          <w:tcPr>
            <w:tcW w:w="174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r w:rsidRPr="00E2349A">
              <w:rPr>
                <w:rFonts w:ascii="Times New Roman" w:hAnsi="Times New Roman" w:cs="Times New Roman"/>
                <w:sz w:val="20"/>
                <w:szCs w:val="20"/>
              </w:rPr>
              <w:t>TRA 65% 74,99%</w:t>
            </w:r>
          </w:p>
        </w:tc>
        <w:tc>
          <w:tcPr>
            <w:tcW w:w="128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r w:rsidRPr="00E2349A">
              <w:rPr>
                <w:rFonts w:ascii="Times New Roman" w:hAnsi="Times New Roman" w:cs="Times New Roman"/>
                <w:sz w:val="20"/>
                <w:szCs w:val="20"/>
              </w:rPr>
              <w:t xml:space="preserve"> €   7.000,00 </w:t>
            </w:r>
          </w:p>
        </w:tc>
        <w:tc>
          <w:tcPr>
            <w:tcW w:w="128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p>
        </w:tc>
      </w:tr>
      <w:tr w:rsidR="0093125D" w:rsidRPr="00E2349A">
        <w:trPr>
          <w:trHeight w:val="255"/>
        </w:trPr>
        <w:tc>
          <w:tcPr>
            <w:tcW w:w="232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p>
        </w:tc>
        <w:tc>
          <w:tcPr>
            <w:tcW w:w="1740" w:type="dxa"/>
            <w:tcBorders>
              <w:top w:val="nil"/>
              <w:left w:val="nil"/>
              <w:bottom w:val="nil"/>
              <w:right w:val="nil"/>
            </w:tcBorders>
            <w:noWrap/>
            <w:vAlign w:val="bottom"/>
          </w:tcPr>
          <w:p w:rsidR="0093125D" w:rsidRPr="00E2349A" w:rsidRDefault="0093125D" w:rsidP="00CB2429">
            <w:pPr>
              <w:spacing w:after="0" w:line="240" w:lineRule="auto"/>
              <w:rPr>
                <w:rFonts w:ascii="Times New Roman" w:hAnsi="Times New Roman" w:cs="Times New Roman"/>
                <w:sz w:val="20"/>
                <w:szCs w:val="20"/>
              </w:rPr>
            </w:pPr>
            <w:r w:rsidRPr="00E2349A">
              <w:rPr>
                <w:rFonts w:ascii="Times New Roman" w:hAnsi="Times New Roman" w:cs="Times New Roman"/>
                <w:sz w:val="20"/>
                <w:szCs w:val="20"/>
              </w:rPr>
              <w:t>TRA 60% 64,99%</w:t>
            </w:r>
          </w:p>
        </w:tc>
        <w:tc>
          <w:tcPr>
            <w:tcW w:w="128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r w:rsidRPr="00E2349A">
              <w:rPr>
                <w:rFonts w:ascii="Times New Roman" w:hAnsi="Times New Roman" w:cs="Times New Roman"/>
                <w:sz w:val="20"/>
                <w:szCs w:val="20"/>
              </w:rPr>
              <w:t xml:space="preserve"> €   5.500,00 </w:t>
            </w:r>
          </w:p>
        </w:tc>
        <w:tc>
          <w:tcPr>
            <w:tcW w:w="128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p>
        </w:tc>
      </w:tr>
      <w:tr w:rsidR="0093125D" w:rsidRPr="00E2349A">
        <w:trPr>
          <w:trHeight w:val="255"/>
        </w:trPr>
        <w:tc>
          <w:tcPr>
            <w:tcW w:w="232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p>
        </w:tc>
        <w:tc>
          <w:tcPr>
            <w:tcW w:w="174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r w:rsidRPr="00E2349A">
              <w:rPr>
                <w:rFonts w:ascii="Times New Roman" w:hAnsi="Times New Roman" w:cs="Times New Roman"/>
                <w:sz w:val="20"/>
                <w:szCs w:val="20"/>
              </w:rPr>
              <w:t>INF  60%</w:t>
            </w:r>
          </w:p>
        </w:tc>
        <w:tc>
          <w:tcPr>
            <w:tcW w:w="128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r w:rsidRPr="00E2349A">
              <w:rPr>
                <w:rFonts w:ascii="Times New Roman" w:hAnsi="Times New Roman" w:cs="Times New Roman"/>
                <w:sz w:val="20"/>
                <w:szCs w:val="20"/>
              </w:rPr>
              <w:t xml:space="preserve"> €   5.200,00 </w:t>
            </w:r>
          </w:p>
        </w:tc>
        <w:tc>
          <w:tcPr>
            <w:tcW w:w="128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sz w:val="20"/>
                <w:szCs w:val="20"/>
              </w:rPr>
            </w:pPr>
          </w:p>
        </w:tc>
      </w:tr>
      <w:tr w:rsidR="0093125D" w:rsidRPr="00E2349A">
        <w:trPr>
          <w:trHeight w:val="255"/>
        </w:trPr>
        <w:tc>
          <w:tcPr>
            <w:tcW w:w="232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b/>
                <w:bCs/>
                <w:color w:val="FF0000"/>
                <w:sz w:val="20"/>
                <w:szCs w:val="20"/>
              </w:rPr>
            </w:pPr>
          </w:p>
        </w:tc>
        <w:tc>
          <w:tcPr>
            <w:tcW w:w="174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color w:val="FF0000"/>
                <w:sz w:val="20"/>
                <w:szCs w:val="20"/>
              </w:rPr>
            </w:pPr>
          </w:p>
        </w:tc>
        <w:tc>
          <w:tcPr>
            <w:tcW w:w="128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color w:val="FF0000"/>
                <w:sz w:val="20"/>
                <w:szCs w:val="20"/>
              </w:rPr>
            </w:pPr>
          </w:p>
        </w:tc>
        <w:tc>
          <w:tcPr>
            <w:tcW w:w="1280" w:type="dxa"/>
            <w:tcBorders>
              <w:top w:val="nil"/>
              <w:left w:val="nil"/>
              <w:bottom w:val="nil"/>
              <w:right w:val="nil"/>
            </w:tcBorders>
            <w:noWrap/>
            <w:vAlign w:val="bottom"/>
          </w:tcPr>
          <w:p w:rsidR="0093125D" w:rsidRPr="00E2349A" w:rsidRDefault="0093125D" w:rsidP="001F7255">
            <w:pPr>
              <w:spacing w:after="0" w:line="240" w:lineRule="auto"/>
              <w:rPr>
                <w:rFonts w:ascii="Times New Roman" w:hAnsi="Times New Roman" w:cs="Times New Roman"/>
                <w:color w:val="FF0000"/>
                <w:sz w:val="20"/>
                <w:szCs w:val="20"/>
              </w:rPr>
            </w:pPr>
          </w:p>
        </w:tc>
        <w:bookmarkStart w:id="0" w:name="_GoBack"/>
        <w:bookmarkEnd w:id="0"/>
      </w:tr>
      <w:tr w:rsidR="0093125D" w:rsidRPr="009D5E51">
        <w:trPr>
          <w:trHeight w:val="255"/>
        </w:trPr>
        <w:tc>
          <w:tcPr>
            <w:tcW w:w="2320" w:type="dxa"/>
            <w:tcBorders>
              <w:top w:val="nil"/>
              <w:left w:val="nil"/>
              <w:bottom w:val="nil"/>
              <w:right w:val="nil"/>
            </w:tcBorders>
            <w:noWrap/>
            <w:vAlign w:val="bottom"/>
          </w:tcPr>
          <w:p w:rsidR="0093125D" w:rsidRPr="009D5E51" w:rsidRDefault="0093125D" w:rsidP="001F7255">
            <w:pPr>
              <w:spacing w:after="0" w:line="240" w:lineRule="auto"/>
              <w:rPr>
                <w:rFonts w:ascii="Tahoma" w:hAnsi="Tahoma" w:cs="Tahoma"/>
                <w:b/>
                <w:bCs/>
                <w:color w:val="FF0000"/>
                <w:sz w:val="20"/>
                <w:szCs w:val="20"/>
              </w:rPr>
            </w:pPr>
          </w:p>
        </w:tc>
        <w:tc>
          <w:tcPr>
            <w:tcW w:w="1740" w:type="dxa"/>
            <w:tcBorders>
              <w:top w:val="nil"/>
              <w:left w:val="nil"/>
              <w:bottom w:val="nil"/>
              <w:right w:val="nil"/>
            </w:tcBorders>
            <w:noWrap/>
            <w:vAlign w:val="bottom"/>
          </w:tcPr>
          <w:p w:rsidR="0093125D" w:rsidRPr="009D5E51" w:rsidRDefault="0093125D" w:rsidP="001F7255">
            <w:pPr>
              <w:spacing w:after="0" w:line="240" w:lineRule="auto"/>
              <w:rPr>
                <w:rFonts w:ascii="Arial" w:hAnsi="Arial" w:cs="Arial"/>
                <w:color w:val="FF0000"/>
                <w:sz w:val="20"/>
                <w:szCs w:val="20"/>
              </w:rPr>
            </w:pPr>
          </w:p>
        </w:tc>
        <w:tc>
          <w:tcPr>
            <w:tcW w:w="1280" w:type="dxa"/>
            <w:tcBorders>
              <w:top w:val="nil"/>
              <w:left w:val="nil"/>
              <w:bottom w:val="nil"/>
              <w:right w:val="nil"/>
            </w:tcBorders>
            <w:noWrap/>
            <w:vAlign w:val="bottom"/>
          </w:tcPr>
          <w:p w:rsidR="0093125D" w:rsidRPr="009D5E51" w:rsidRDefault="0093125D" w:rsidP="001F7255">
            <w:pPr>
              <w:spacing w:after="0" w:line="240" w:lineRule="auto"/>
              <w:rPr>
                <w:rFonts w:ascii="Tahoma" w:hAnsi="Tahoma" w:cs="Tahoma"/>
                <w:color w:val="FF0000"/>
                <w:sz w:val="20"/>
                <w:szCs w:val="20"/>
              </w:rPr>
            </w:pPr>
          </w:p>
        </w:tc>
        <w:tc>
          <w:tcPr>
            <w:tcW w:w="1280" w:type="dxa"/>
            <w:tcBorders>
              <w:top w:val="nil"/>
              <w:left w:val="nil"/>
              <w:bottom w:val="nil"/>
              <w:right w:val="nil"/>
            </w:tcBorders>
            <w:noWrap/>
            <w:vAlign w:val="bottom"/>
          </w:tcPr>
          <w:p w:rsidR="0093125D" w:rsidRPr="009D5E51" w:rsidRDefault="0093125D" w:rsidP="001F7255">
            <w:pPr>
              <w:spacing w:after="0" w:line="240" w:lineRule="auto"/>
              <w:rPr>
                <w:rFonts w:ascii="Tahoma" w:hAnsi="Tahoma" w:cs="Tahoma"/>
                <w:color w:val="FF0000"/>
                <w:sz w:val="20"/>
                <w:szCs w:val="20"/>
              </w:rPr>
            </w:pPr>
          </w:p>
        </w:tc>
      </w:tr>
    </w:tbl>
    <w:p w:rsidR="0093125D" w:rsidRPr="009D5E51" w:rsidRDefault="0093125D" w:rsidP="0065547D">
      <w:pPr>
        <w:autoSpaceDE w:val="0"/>
        <w:autoSpaceDN w:val="0"/>
        <w:adjustRightInd w:val="0"/>
        <w:spacing w:after="0" w:line="240" w:lineRule="auto"/>
        <w:rPr>
          <w:rFonts w:ascii="Arial" w:hAnsi="Arial" w:cs="Arial"/>
          <w:color w:val="FF0000"/>
        </w:rPr>
      </w:pPr>
    </w:p>
    <w:p w:rsidR="0093125D" w:rsidRPr="00BD326C" w:rsidRDefault="0093125D" w:rsidP="00CB2429">
      <w:p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La metodologia per la descrizione delle posizioni organizzative è identica a quella in uso per le posizioni dirigenziali, mentre quella per la relativa valutazione del peso  si basa sugli stessi fattori di valutazione, differenziandosi soltanto in relazione ai parametri aritmetici di calcolo, che conducono, come è naturale, a risultati di punteggio (pesi) inferiori alla gamma dei pesi delle posizioni dirigenziali.</w:t>
      </w:r>
    </w:p>
    <w:p w:rsidR="0093125D" w:rsidRPr="00BD326C" w:rsidRDefault="0093125D" w:rsidP="00CB2429">
      <w:pPr>
        <w:autoSpaceDE w:val="0"/>
        <w:autoSpaceDN w:val="0"/>
        <w:adjustRightInd w:val="0"/>
        <w:spacing w:after="0" w:line="240" w:lineRule="auto"/>
        <w:jc w:val="both"/>
        <w:rPr>
          <w:rFonts w:ascii="Times New Roman" w:hAnsi="Times New Roman" w:cs="Times New Roman"/>
          <w:sz w:val="24"/>
          <w:szCs w:val="24"/>
        </w:rPr>
      </w:pPr>
    </w:p>
    <w:p w:rsidR="0093125D" w:rsidRPr="00BD326C" w:rsidRDefault="0093125D" w:rsidP="00CB2429">
      <w:p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Ritenuto pertanto proporre alla Giunta Comunale i criteri sopraindicati, demandando alla delegazione trattante di parte pubblica la proposizione del fondo che tenga conto della quantificazione della retribuzione di risultato delle suddette tabelle di graduazione delle posizioni oggetto di valutazione  .</w:t>
      </w:r>
    </w:p>
    <w:p w:rsidR="0093125D" w:rsidRPr="00BD326C" w:rsidRDefault="0093125D" w:rsidP="000D7B71">
      <w:pPr>
        <w:autoSpaceDE w:val="0"/>
        <w:autoSpaceDN w:val="0"/>
        <w:adjustRightInd w:val="0"/>
        <w:spacing w:after="0" w:line="240" w:lineRule="auto"/>
        <w:rPr>
          <w:rFonts w:ascii="Times New Roman" w:hAnsi="Times New Roman" w:cs="Times New Roman"/>
          <w:sz w:val="24"/>
          <w:szCs w:val="24"/>
        </w:rPr>
      </w:pPr>
    </w:p>
    <w:p w:rsidR="0093125D" w:rsidRPr="00BD326C" w:rsidRDefault="0093125D" w:rsidP="000D7B71">
      <w:pPr>
        <w:autoSpaceDE w:val="0"/>
        <w:autoSpaceDN w:val="0"/>
        <w:adjustRightInd w:val="0"/>
        <w:spacing w:after="0" w:line="240" w:lineRule="auto"/>
        <w:rPr>
          <w:rFonts w:ascii="Times New Roman" w:hAnsi="Times New Roman" w:cs="Times New Roman"/>
          <w:sz w:val="24"/>
          <w:szCs w:val="24"/>
        </w:rPr>
      </w:pPr>
      <w:r w:rsidRPr="00BD326C">
        <w:rPr>
          <w:rFonts w:ascii="Times New Roman" w:hAnsi="Times New Roman" w:cs="Times New Roman"/>
          <w:sz w:val="24"/>
          <w:szCs w:val="24"/>
        </w:rPr>
        <w:t>Dato atto che la presente proposta viene comunicata alle OO.SS.</w:t>
      </w:r>
    </w:p>
    <w:p w:rsidR="0093125D" w:rsidRDefault="0093125D" w:rsidP="0083115C">
      <w:pPr>
        <w:autoSpaceDE w:val="0"/>
        <w:autoSpaceDN w:val="0"/>
        <w:adjustRightInd w:val="0"/>
        <w:spacing w:after="0" w:line="240" w:lineRule="auto"/>
        <w:rPr>
          <w:rFonts w:ascii="Times New Roman" w:hAnsi="Times New Roman" w:cs="Times New Roman"/>
          <w:sz w:val="24"/>
          <w:szCs w:val="24"/>
        </w:rPr>
      </w:pPr>
    </w:p>
    <w:p w:rsidR="0093125D" w:rsidRPr="0083115C" w:rsidRDefault="0093125D" w:rsidP="0083115C">
      <w:pPr>
        <w:autoSpaceDE w:val="0"/>
        <w:autoSpaceDN w:val="0"/>
        <w:adjustRightInd w:val="0"/>
        <w:spacing w:after="0" w:line="240" w:lineRule="auto"/>
        <w:jc w:val="both"/>
        <w:rPr>
          <w:rFonts w:ascii="Times New Roman" w:hAnsi="Times New Roman" w:cs="Times New Roman"/>
          <w:sz w:val="24"/>
          <w:szCs w:val="24"/>
        </w:rPr>
      </w:pPr>
      <w:r w:rsidRPr="0083115C">
        <w:rPr>
          <w:rFonts w:ascii="Times New Roman" w:hAnsi="Times New Roman" w:cs="Times New Roman"/>
          <w:sz w:val="24"/>
          <w:szCs w:val="24"/>
        </w:rPr>
        <w:t>Attesa la competenza della Giunta Comunale a deliberare, ai sensi del combinato disposto degli artt. 48 e 49 del D.Lgs. 18.8.2000, n. 267;</w:t>
      </w:r>
    </w:p>
    <w:p w:rsidR="0093125D" w:rsidRPr="0083115C" w:rsidRDefault="0093125D" w:rsidP="0083115C">
      <w:pPr>
        <w:autoSpaceDE w:val="0"/>
        <w:autoSpaceDN w:val="0"/>
        <w:adjustRightInd w:val="0"/>
        <w:spacing w:after="0" w:line="240" w:lineRule="auto"/>
        <w:jc w:val="both"/>
        <w:rPr>
          <w:rFonts w:ascii="Times New Roman" w:hAnsi="Times New Roman" w:cs="Times New Roman"/>
          <w:sz w:val="24"/>
          <w:szCs w:val="24"/>
        </w:rPr>
      </w:pPr>
    </w:p>
    <w:p w:rsidR="0093125D" w:rsidRPr="00BD326C" w:rsidRDefault="0093125D" w:rsidP="00CB2429">
      <w:pPr>
        <w:autoSpaceDE w:val="0"/>
        <w:autoSpaceDN w:val="0"/>
        <w:adjustRightInd w:val="0"/>
        <w:spacing w:after="0" w:line="240" w:lineRule="auto"/>
        <w:rPr>
          <w:rFonts w:ascii="Times New Roman" w:hAnsi="Times New Roman" w:cs="Times New Roman"/>
          <w:sz w:val="24"/>
          <w:szCs w:val="24"/>
        </w:rPr>
      </w:pPr>
      <w:r w:rsidRPr="00BD326C">
        <w:rPr>
          <w:rFonts w:ascii="Times New Roman" w:hAnsi="Times New Roman" w:cs="Times New Roman"/>
          <w:sz w:val="24"/>
          <w:szCs w:val="24"/>
        </w:rPr>
        <w:t xml:space="preserve">Con voti </w:t>
      </w:r>
      <w:r>
        <w:rPr>
          <w:rFonts w:ascii="Times New Roman" w:hAnsi="Times New Roman" w:cs="Times New Roman"/>
          <w:sz w:val="24"/>
          <w:szCs w:val="24"/>
        </w:rPr>
        <w:t>unanimi, resi in forma palese;</w:t>
      </w:r>
    </w:p>
    <w:p w:rsidR="0093125D" w:rsidRPr="00BD326C" w:rsidRDefault="0093125D" w:rsidP="00CB2429">
      <w:pPr>
        <w:autoSpaceDE w:val="0"/>
        <w:autoSpaceDN w:val="0"/>
        <w:adjustRightInd w:val="0"/>
        <w:spacing w:after="0" w:line="240" w:lineRule="auto"/>
        <w:rPr>
          <w:rFonts w:ascii="Times New Roman" w:hAnsi="Times New Roman" w:cs="Times New Roman"/>
          <w:sz w:val="24"/>
          <w:szCs w:val="24"/>
        </w:rPr>
      </w:pPr>
    </w:p>
    <w:p w:rsidR="0093125D" w:rsidRPr="00BD326C" w:rsidRDefault="0093125D" w:rsidP="00CB2429">
      <w:pPr>
        <w:autoSpaceDE w:val="0"/>
        <w:autoSpaceDN w:val="0"/>
        <w:adjustRightInd w:val="0"/>
        <w:spacing w:after="0" w:line="240" w:lineRule="auto"/>
        <w:jc w:val="center"/>
        <w:rPr>
          <w:rFonts w:ascii="Arial" w:hAnsi="Arial" w:cs="Arial"/>
          <w:b/>
          <w:bCs/>
        </w:rPr>
      </w:pPr>
    </w:p>
    <w:p w:rsidR="0093125D" w:rsidRPr="0011607E" w:rsidRDefault="0093125D" w:rsidP="00CB2429">
      <w:pPr>
        <w:autoSpaceDE w:val="0"/>
        <w:autoSpaceDN w:val="0"/>
        <w:adjustRightInd w:val="0"/>
        <w:spacing w:after="0" w:line="240" w:lineRule="auto"/>
        <w:jc w:val="center"/>
        <w:rPr>
          <w:rFonts w:ascii="Times New Roman" w:hAnsi="Times New Roman" w:cs="Times New Roman"/>
          <w:b/>
          <w:bCs/>
          <w:sz w:val="24"/>
          <w:szCs w:val="24"/>
        </w:rPr>
      </w:pPr>
      <w:r w:rsidRPr="0011607E">
        <w:rPr>
          <w:rFonts w:ascii="Times New Roman" w:hAnsi="Times New Roman" w:cs="Times New Roman"/>
          <w:b/>
          <w:bCs/>
          <w:sz w:val="24"/>
          <w:szCs w:val="24"/>
        </w:rPr>
        <w:t>D E L I B  E R A</w:t>
      </w:r>
    </w:p>
    <w:p w:rsidR="0093125D" w:rsidRDefault="0093125D" w:rsidP="000D7B71">
      <w:pPr>
        <w:autoSpaceDE w:val="0"/>
        <w:autoSpaceDN w:val="0"/>
        <w:adjustRightInd w:val="0"/>
        <w:spacing w:after="0" w:line="240" w:lineRule="auto"/>
        <w:rPr>
          <w:rFonts w:ascii="Arial" w:hAnsi="Arial" w:cs="Arial"/>
        </w:rPr>
      </w:pPr>
    </w:p>
    <w:p w:rsidR="0093125D" w:rsidRPr="00BD326C" w:rsidRDefault="0093125D" w:rsidP="00CB2429">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di approvare la proposta deliberativa sopra relazionata</w:t>
      </w:r>
      <w:r>
        <w:rPr>
          <w:rFonts w:ascii="Times New Roman" w:hAnsi="Times New Roman" w:cs="Times New Roman"/>
          <w:sz w:val="24"/>
          <w:szCs w:val="24"/>
        </w:rPr>
        <w:t>,</w:t>
      </w:r>
      <w:r w:rsidRPr="00BD326C">
        <w:rPr>
          <w:rFonts w:ascii="Times New Roman" w:hAnsi="Times New Roman" w:cs="Times New Roman"/>
          <w:sz w:val="24"/>
          <w:szCs w:val="24"/>
        </w:rPr>
        <w:t xml:space="preserve"> contenente atto di indirizzo in merito alla metodologia per la determinazione della retribuzione di posizione  dirigenziale confermando in ordine alla retribuzione di risultato la percentuale economica in atto applicata.</w:t>
      </w:r>
    </w:p>
    <w:p w:rsidR="0093125D" w:rsidRPr="00BD326C" w:rsidRDefault="0093125D" w:rsidP="00CB2429">
      <w:pPr>
        <w:autoSpaceDE w:val="0"/>
        <w:autoSpaceDN w:val="0"/>
        <w:adjustRightInd w:val="0"/>
        <w:spacing w:after="0" w:line="240" w:lineRule="auto"/>
        <w:jc w:val="both"/>
        <w:rPr>
          <w:rFonts w:ascii="Times New Roman" w:hAnsi="Times New Roman" w:cs="Times New Roman"/>
          <w:sz w:val="24"/>
          <w:szCs w:val="24"/>
        </w:rPr>
      </w:pPr>
    </w:p>
    <w:p w:rsidR="0093125D" w:rsidRPr="00BD326C" w:rsidRDefault="0093125D" w:rsidP="00CB2429">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di approvare la proposta deliberativa in merito alla metodologia per la determinazione della retribuzione di posizione organizzativa confermando per la retribuzione di risultato la percentuale economica in atto applicata.</w:t>
      </w:r>
    </w:p>
    <w:p w:rsidR="0093125D" w:rsidRPr="00BD326C" w:rsidRDefault="0093125D" w:rsidP="00CB2429">
      <w:pPr>
        <w:autoSpaceDE w:val="0"/>
        <w:autoSpaceDN w:val="0"/>
        <w:adjustRightInd w:val="0"/>
        <w:spacing w:after="0" w:line="240" w:lineRule="auto"/>
        <w:jc w:val="both"/>
        <w:rPr>
          <w:rFonts w:ascii="Times New Roman" w:hAnsi="Times New Roman" w:cs="Times New Roman"/>
          <w:sz w:val="24"/>
          <w:szCs w:val="24"/>
        </w:rPr>
      </w:pPr>
    </w:p>
    <w:p w:rsidR="0093125D" w:rsidRDefault="0093125D" w:rsidP="00CB2429">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BD326C">
        <w:rPr>
          <w:rFonts w:ascii="Times New Roman" w:hAnsi="Times New Roman" w:cs="Times New Roman"/>
          <w:sz w:val="24"/>
          <w:szCs w:val="24"/>
        </w:rPr>
        <w:t>di demandare al nucleo di valutazione la validazione delle schede relative alle posizioni, come definite, contenente il punteggio attribuito ed il valore economico corrispondente.</w:t>
      </w:r>
    </w:p>
    <w:p w:rsidR="0093125D" w:rsidRDefault="0093125D" w:rsidP="00BD326C">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93125D" w:rsidRDefault="0093125D" w:rsidP="00CB2429">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 trasmettere copia del presente atto  alle OO.SS.</w:t>
      </w:r>
    </w:p>
    <w:p w:rsidR="0093125D" w:rsidRDefault="0093125D" w:rsidP="00BD326C">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93125D" w:rsidRPr="00BD326C" w:rsidRDefault="0093125D" w:rsidP="00BD326C">
      <w:pPr>
        <w:pStyle w:val="ListParagraph"/>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 * * * *</w:t>
      </w:r>
    </w:p>
    <w:p w:rsidR="0093125D" w:rsidRPr="00BD326C" w:rsidRDefault="0093125D" w:rsidP="00CB2429">
      <w:pPr>
        <w:pStyle w:val="ListParagraph"/>
        <w:rPr>
          <w:rFonts w:ascii="Times New Roman" w:hAnsi="Times New Roman" w:cs="Times New Roman"/>
          <w:sz w:val="24"/>
          <w:szCs w:val="24"/>
        </w:rPr>
      </w:pPr>
    </w:p>
    <w:p w:rsidR="0093125D" w:rsidRPr="00BD326C" w:rsidRDefault="0093125D" w:rsidP="00CB2429">
      <w:pPr>
        <w:pStyle w:val="ListParagraph"/>
        <w:autoSpaceDE w:val="0"/>
        <w:autoSpaceDN w:val="0"/>
        <w:adjustRightInd w:val="0"/>
        <w:spacing w:after="0" w:line="240" w:lineRule="auto"/>
        <w:jc w:val="both"/>
        <w:rPr>
          <w:rFonts w:ascii="Times New Roman" w:hAnsi="Times New Roman" w:cs="Times New Roman"/>
          <w:sz w:val="24"/>
          <w:szCs w:val="24"/>
        </w:rPr>
      </w:pPr>
    </w:p>
    <w:p w:rsidR="0093125D" w:rsidRPr="00BD326C" w:rsidRDefault="0093125D" w:rsidP="00CB2429">
      <w:pPr>
        <w:jc w:val="both"/>
        <w:rPr>
          <w:rFonts w:ascii="Times New Roman" w:hAnsi="Times New Roman" w:cs="Times New Roman"/>
          <w:sz w:val="24"/>
          <w:szCs w:val="24"/>
        </w:rPr>
      </w:pPr>
    </w:p>
    <w:sectPr w:rsidR="0093125D" w:rsidRPr="00BD326C" w:rsidSect="00BF309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C7EB6"/>
    <w:multiLevelType w:val="hybridMultilevel"/>
    <w:tmpl w:val="40008C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61A67B87"/>
    <w:multiLevelType w:val="hybridMultilevel"/>
    <w:tmpl w:val="7E4E0F08"/>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705A73FF"/>
    <w:multiLevelType w:val="multilevel"/>
    <w:tmpl w:val="7AB298D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360" w:hanging="360"/>
      </w:pPr>
      <w:rPr>
        <w:rFonts w:hint="default"/>
        <w:i w:val="0"/>
        <w:iCs w:val="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D45FEE"/>
    <w:multiLevelType w:val="multilevel"/>
    <w:tmpl w:val="E256B74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F280425"/>
    <w:multiLevelType w:val="hybridMultilevel"/>
    <w:tmpl w:val="7C8EC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194"/>
    <w:rsid w:val="00007318"/>
    <w:rsid w:val="000268EF"/>
    <w:rsid w:val="000824AB"/>
    <w:rsid w:val="000C5F06"/>
    <w:rsid w:val="000D7B71"/>
    <w:rsid w:val="0011607E"/>
    <w:rsid w:val="001209A8"/>
    <w:rsid w:val="00197E37"/>
    <w:rsid w:val="001F3FD3"/>
    <w:rsid w:val="001F7255"/>
    <w:rsid w:val="001F7622"/>
    <w:rsid w:val="00237657"/>
    <w:rsid w:val="002B7075"/>
    <w:rsid w:val="003013FD"/>
    <w:rsid w:val="0034680C"/>
    <w:rsid w:val="00382194"/>
    <w:rsid w:val="003D4A78"/>
    <w:rsid w:val="003E289D"/>
    <w:rsid w:val="00451B26"/>
    <w:rsid w:val="0046199D"/>
    <w:rsid w:val="00495613"/>
    <w:rsid w:val="004B4A79"/>
    <w:rsid w:val="004D7606"/>
    <w:rsid w:val="004E561B"/>
    <w:rsid w:val="00507043"/>
    <w:rsid w:val="00517E92"/>
    <w:rsid w:val="0053079A"/>
    <w:rsid w:val="00582009"/>
    <w:rsid w:val="005D0CA2"/>
    <w:rsid w:val="005F04C8"/>
    <w:rsid w:val="00612C8A"/>
    <w:rsid w:val="0063317A"/>
    <w:rsid w:val="0065547D"/>
    <w:rsid w:val="006916EB"/>
    <w:rsid w:val="007203BA"/>
    <w:rsid w:val="0077039E"/>
    <w:rsid w:val="007707E4"/>
    <w:rsid w:val="0083115C"/>
    <w:rsid w:val="00851E0B"/>
    <w:rsid w:val="009132EA"/>
    <w:rsid w:val="0093125D"/>
    <w:rsid w:val="00935DB4"/>
    <w:rsid w:val="00937116"/>
    <w:rsid w:val="00957BCE"/>
    <w:rsid w:val="009D5E51"/>
    <w:rsid w:val="009D6CFA"/>
    <w:rsid w:val="00A60BCE"/>
    <w:rsid w:val="00AD5005"/>
    <w:rsid w:val="00AE4BD2"/>
    <w:rsid w:val="00AF5766"/>
    <w:rsid w:val="00B7186C"/>
    <w:rsid w:val="00B77059"/>
    <w:rsid w:val="00BB7474"/>
    <w:rsid w:val="00BD326C"/>
    <w:rsid w:val="00BD59EA"/>
    <w:rsid w:val="00BF3099"/>
    <w:rsid w:val="00C0732E"/>
    <w:rsid w:val="00C300A9"/>
    <w:rsid w:val="00CB2429"/>
    <w:rsid w:val="00CB4AAB"/>
    <w:rsid w:val="00D07A60"/>
    <w:rsid w:val="00DC6370"/>
    <w:rsid w:val="00DE2BC6"/>
    <w:rsid w:val="00E04D0F"/>
    <w:rsid w:val="00E2349A"/>
    <w:rsid w:val="00E5477F"/>
    <w:rsid w:val="00E91499"/>
    <w:rsid w:val="00E9220E"/>
    <w:rsid w:val="00EB42C6"/>
    <w:rsid w:val="00ED3C50"/>
    <w:rsid w:val="00F76975"/>
    <w:rsid w:val="00F97ED9"/>
    <w:rsid w:val="00FD42B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09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82194"/>
    <w:pPr>
      <w:spacing w:before="100" w:beforeAutospacing="1" w:after="100" w:afterAutospacing="1" w:line="240" w:lineRule="auto"/>
    </w:pPr>
    <w:rPr>
      <w:color w:val="000000"/>
      <w:sz w:val="24"/>
      <w:szCs w:val="24"/>
    </w:rPr>
  </w:style>
  <w:style w:type="paragraph" w:styleId="ListParagraph">
    <w:name w:val="List Paragraph"/>
    <w:basedOn w:val="Normal"/>
    <w:uiPriority w:val="99"/>
    <w:qFormat/>
    <w:rsid w:val="005D0CA2"/>
    <w:pPr>
      <w:ind w:left="720"/>
      <w:contextualSpacing/>
    </w:pPr>
  </w:style>
</w:styles>
</file>

<file path=word/webSettings.xml><?xml version="1.0" encoding="utf-8"?>
<w:webSettings xmlns:r="http://schemas.openxmlformats.org/officeDocument/2006/relationships" xmlns:w="http://schemas.openxmlformats.org/wordprocessingml/2006/main">
  <w:divs>
    <w:div w:id="1077364319">
      <w:marLeft w:val="0"/>
      <w:marRight w:val="0"/>
      <w:marTop w:val="0"/>
      <w:marBottom w:val="0"/>
      <w:divBdr>
        <w:top w:val="none" w:sz="0" w:space="0" w:color="auto"/>
        <w:left w:val="none" w:sz="0" w:space="0" w:color="auto"/>
        <w:bottom w:val="none" w:sz="0" w:space="0" w:color="auto"/>
        <w:right w:val="none" w:sz="0" w:space="0" w:color="auto"/>
      </w:divBdr>
    </w:div>
    <w:div w:id="1077364321">
      <w:marLeft w:val="0"/>
      <w:marRight w:val="0"/>
      <w:marTop w:val="0"/>
      <w:marBottom w:val="0"/>
      <w:divBdr>
        <w:top w:val="none" w:sz="0" w:space="0" w:color="auto"/>
        <w:left w:val="none" w:sz="0" w:space="0" w:color="auto"/>
        <w:bottom w:val="none" w:sz="0" w:space="0" w:color="auto"/>
        <w:right w:val="none" w:sz="0" w:space="0" w:color="auto"/>
      </w:divBdr>
      <w:divsChild>
        <w:div w:id="1077364314">
          <w:marLeft w:val="0"/>
          <w:marRight w:val="0"/>
          <w:marTop w:val="0"/>
          <w:marBottom w:val="150"/>
          <w:divBdr>
            <w:top w:val="none" w:sz="0" w:space="0" w:color="auto"/>
            <w:left w:val="none" w:sz="0" w:space="0" w:color="auto"/>
            <w:bottom w:val="none" w:sz="0" w:space="0" w:color="auto"/>
            <w:right w:val="none" w:sz="0" w:space="0" w:color="auto"/>
          </w:divBdr>
          <w:divsChild>
            <w:div w:id="1077364315">
              <w:marLeft w:val="0"/>
              <w:marRight w:val="0"/>
              <w:marTop w:val="0"/>
              <w:marBottom w:val="0"/>
              <w:divBdr>
                <w:top w:val="none" w:sz="0" w:space="0" w:color="auto"/>
                <w:left w:val="none" w:sz="0" w:space="0" w:color="auto"/>
                <w:bottom w:val="none" w:sz="0" w:space="0" w:color="auto"/>
                <w:right w:val="none" w:sz="0" w:space="0" w:color="auto"/>
              </w:divBdr>
              <w:divsChild>
                <w:div w:id="1077364318">
                  <w:marLeft w:val="0"/>
                  <w:marRight w:val="0"/>
                  <w:marTop w:val="0"/>
                  <w:marBottom w:val="150"/>
                  <w:divBdr>
                    <w:top w:val="none" w:sz="0" w:space="0" w:color="auto"/>
                    <w:left w:val="none" w:sz="0" w:space="0" w:color="auto"/>
                    <w:bottom w:val="none" w:sz="0" w:space="0" w:color="auto"/>
                    <w:right w:val="none" w:sz="0" w:space="0" w:color="auto"/>
                  </w:divBdr>
                  <w:divsChild>
                    <w:div w:id="1077364322">
                      <w:marLeft w:val="0"/>
                      <w:marRight w:val="0"/>
                      <w:marTop w:val="0"/>
                      <w:marBottom w:val="0"/>
                      <w:divBdr>
                        <w:top w:val="none" w:sz="0" w:space="0" w:color="auto"/>
                        <w:left w:val="none" w:sz="0" w:space="0" w:color="auto"/>
                        <w:bottom w:val="none" w:sz="0" w:space="0" w:color="auto"/>
                        <w:right w:val="none" w:sz="0" w:space="0" w:color="auto"/>
                      </w:divBdr>
                      <w:divsChild>
                        <w:div w:id="1077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364323">
      <w:marLeft w:val="0"/>
      <w:marRight w:val="0"/>
      <w:marTop w:val="0"/>
      <w:marBottom w:val="0"/>
      <w:divBdr>
        <w:top w:val="none" w:sz="0" w:space="0" w:color="auto"/>
        <w:left w:val="none" w:sz="0" w:space="0" w:color="auto"/>
        <w:bottom w:val="none" w:sz="0" w:space="0" w:color="auto"/>
        <w:right w:val="none" w:sz="0" w:space="0" w:color="auto"/>
      </w:divBdr>
      <w:divsChild>
        <w:div w:id="1077364312">
          <w:marLeft w:val="0"/>
          <w:marRight w:val="0"/>
          <w:marTop w:val="0"/>
          <w:marBottom w:val="150"/>
          <w:divBdr>
            <w:top w:val="none" w:sz="0" w:space="0" w:color="auto"/>
            <w:left w:val="none" w:sz="0" w:space="0" w:color="auto"/>
            <w:bottom w:val="none" w:sz="0" w:space="0" w:color="auto"/>
            <w:right w:val="none" w:sz="0" w:space="0" w:color="auto"/>
          </w:divBdr>
          <w:divsChild>
            <w:div w:id="1077364311">
              <w:marLeft w:val="0"/>
              <w:marRight w:val="0"/>
              <w:marTop w:val="0"/>
              <w:marBottom w:val="0"/>
              <w:divBdr>
                <w:top w:val="none" w:sz="0" w:space="0" w:color="auto"/>
                <w:left w:val="none" w:sz="0" w:space="0" w:color="auto"/>
                <w:bottom w:val="none" w:sz="0" w:space="0" w:color="auto"/>
                <w:right w:val="none" w:sz="0" w:space="0" w:color="auto"/>
              </w:divBdr>
              <w:divsChild>
                <w:div w:id="1077364317">
                  <w:marLeft w:val="0"/>
                  <w:marRight w:val="0"/>
                  <w:marTop w:val="0"/>
                  <w:marBottom w:val="150"/>
                  <w:divBdr>
                    <w:top w:val="none" w:sz="0" w:space="0" w:color="auto"/>
                    <w:left w:val="none" w:sz="0" w:space="0" w:color="auto"/>
                    <w:bottom w:val="none" w:sz="0" w:space="0" w:color="auto"/>
                    <w:right w:val="none" w:sz="0" w:space="0" w:color="auto"/>
                  </w:divBdr>
                  <w:divsChild>
                    <w:div w:id="1077364316">
                      <w:marLeft w:val="0"/>
                      <w:marRight w:val="0"/>
                      <w:marTop w:val="0"/>
                      <w:marBottom w:val="0"/>
                      <w:divBdr>
                        <w:top w:val="none" w:sz="0" w:space="0" w:color="auto"/>
                        <w:left w:val="none" w:sz="0" w:space="0" w:color="auto"/>
                        <w:bottom w:val="none" w:sz="0" w:space="0" w:color="auto"/>
                        <w:right w:val="none" w:sz="0" w:space="0" w:color="auto"/>
                      </w:divBdr>
                      <w:divsChild>
                        <w:div w:id="10773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1556</Words>
  <Characters>8873</Characters>
  <Application>Microsoft Office Outlook</Application>
  <DocSecurity>0</DocSecurity>
  <Lines>0</Lines>
  <Paragraphs>0</Paragraphs>
  <ScaleCrop>false</ScaleCrop>
  <Company>Vigili del Fuoco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c:title>
  <dc:subject/>
  <dc:creator>Ing. Michele FERRARO</dc:creator>
  <cp:keywords/>
  <dc:description/>
  <cp:lastModifiedBy>franca.mosso</cp:lastModifiedBy>
  <cp:revision>3</cp:revision>
  <cp:lastPrinted>2010-12-09T09:44:00Z</cp:lastPrinted>
  <dcterms:created xsi:type="dcterms:W3CDTF">2010-12-13T10:26:00Z</dcterms:created>
  <dcterms:modified xsi:type="dcterms:W3CDTF">2010-12-13T10:27:00Z</dcterms:modified>
</cp:coreProperties>
</file>