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46" w:rsidRDefault="00590D46" w:rsidP="00590D46">
      <w:pPr>
        <w:pStyle w:val="Default"/>
        <w:spacing w:line="360" w:lineRule="auto"/>
        <w:jc w:val="center"/>
        <w:rPr>
          <w:b/>
          <w:bCs/>
          <w:color w:val="auto"/>
        </w:rPr>
      </w:pPr>
      <w:r w:rsidRPr="00590D46">
        <w:rPr>
          <w:b/>
          <w:bCs/>
          <w:color w:val="auto"/>
        </w:rPr>
        <w:t xml:space="preserve">DISCIPLINARE </w:t>
      </w:r>
      <w:proofErr w:type="spellStart"/>
      <w:r w:rsidRPr="00590D46">
        <w:rPr>
          <w:b/>
          <w:bCs/>
          <w:color w:val="auto"/>
        </w:rPr>
        <w:t>DI</w:t>
      </w:r>
      <w:proofErr w:type="spellEnd"/>
      <w:r w:rsidRPr="00590D46">
        <w:rPr>
          <w:b/>
          <w:bCs/>
          <w:color w:val="auto"/>
        </w:rPr>
        <w:t xml:space="preserve"> GARA</w:t>
      </w:r>
    </w:p>
    <w:p w:rsidR="00590D46" w:rsidRDefault="00590D46" w:rsidP="00590D46">
      <w:pPr>
        <w:pStyle w:val="Default"/>
        <w:spacing w:line="360" w:lineRule="auto"/>
        <w:jc w:val="both"/>
        <w:rPr>
          <w:b/>
          <w:bCs/>
          <w:color w:val="auto"/>
        </w:rPr>
      </w:pPr>
    </w:p>
    <w:p w:rsidR="00590D46" w:rsidRPr="00590D46" w:rsidRDefault="002E47B7" w:rsidP="00590D46">
      <w:pPr>
        <w:pStyle w:val="Default"/>
        <w:spacing w:line="360" w:lineRule="auto"/>
        <w:jc w:val="both"/>
        <w:rPr>
          <w:b/>
        </w:rPr>
      </w:pPr>
      <w:r w:rsidRPr="00590D46">
        <w:rPr>
          <w:b/>
          <w:bCs/>
          <w:color w:val="auto"/>
        </w:rPr>
        <w:t xml:space="preserve">AFFIDAMENTO DEL SERVIZIO </w:t>
      </w:r>
      <w:proofErr w:type="spellStart"/>
      <w:r w:rsidR="00590D46" w:rsidRPr="00590D46">
        <w:rPr>
          <w:b/>
        </w:rPr>
        <w:t>DI</w:t>
      </w:r>
      <w:proofErr w:type="spellEnd"/>
      <w:r w:rsidR="00590D46" w:rsidRPr="00590D46">
        <w:rPr>
          <w:b/>
        </w:rPr>
        <w:t xml:space="preserve"> CENSIMENTO, PULIZIA E SPOSTAMENTO E MESSA IN SICUREZZA DEL PATRIMONIO ARCHIVISTICO COMUNALE </w:t>
      </w:r>
    </w:p>
    <w:p w:rsidR="002E47B7" w:rsidRPr="00590D46" w:rsidRDefault="002E47B7" w:rsidP="00590D46">
      <w:pPr>
        <w:pStyle w:val="Default"/>
        <w:spacing w:line="360" w:lineRule="auto"/>
        <w:jc w:val="both"/>
        <w:rPr>
          <w:color w:val="auto"/>
        </w:rPr>
      </w:pPr>
    </w:p>
    <w:p w:rsidR="002E47B7" w:rsidRPr="00590D46" w:rsidRDefault="002E47B7" w:rsidP="00590D46">
      <w:pPr>
        <w:pStyle w:val="Default"/>
        <w:spacing w:line="360" w:lineRule="auto"/>
        <w:jc w:val="both"/>
        <w:rPr>
          <w:color w:val="auto"/>
        </w:rPr>
      </w:pPr>
      <w:r w:rsidRPr="00590D46">
        <w:rPr>
          <w:color w:val="auto"/>
        </w:rPr>
        <w:t>Il Comune di Vercelli, in esecuzione d</w:t>
      </w:r>
      <w:r w:rsidR="00590D46">
        <w:rPr>
          <w:color w:val="auto"/>
        </w:rPr>
        <w:t xml:space="preserve">i propria </w:t>
      </w:r>
      <w:r w:rsidRPr="00590D46">
        <w:rPr>
          <w:color w:val="auto"/>
        </w:rPr>
        <w:t xml:space="preserve">Determinazione Dirigenziale indice una gara di appalto per l’affidamento del servizio </w:t>
      </w:r>
      <w:r w:rsidR="007D6C91">
        <w:rPr>
          <w:color w:val="auto"/>
        </w:rPr>
        <w:t>relativo all’</w:t>
      </w:r>
      <w:r w:rsidR="007D6C91" w:rsidRPr="007D6C91">
        <w:rPr>
          <w:bCs/>
          <w:color w:val="auto"/>
        </w:rPr>
        <w:t xml:space="preserve">affidamento del servizio </w:t>
      </w:r>
      <w:r w:rsidR="007D6C91" w:rsidRPr="007D6C91">
        <w:t>di censimento, pulizia e spostamento e messa in sicurezza del patrimonio archivistico comunale</w:t>
      </w:r>
      <w:r w:rsidRPr="00590D46">
        <w:rPr>
          <w:color w:val="auto"/>
        </w:rPr>
        <w:t xml:space="preserve">. </w:t>
      </w:r>
    </w:p>
    <w:p w:rsidR="00590D46" w:rsidRDefault="002E47B7" w:rsidP="00590D46">
      <w:pPr>
        <w:pStyle w:val="Default"/>
        <w:spacing w:line="360" w:lineRule="auto"/>
        <w:jc w:val="both"/>
        <w:rPr>
          <w:color w:val="auto"/>
        </w:rPr>
      </w:pPr>
      <w:r w:rsidRPr="00590D46">
        <w:rPr>
          <w:color w:val="auto"/>
        </w:rPr>
        <w:t xml:space="preserve">L’appalto del servizio sarà affidato mediante l’espletamento di una </w:t>
      </w:r>
      <w:r w:rsidRPr="00C017E7">
        <w:rPr>
          <w:color w:val="auto"/>
        </w:rPr>
        <w:t xml:space="preserve">procedura </w:t>
      </w:r>
      <w:r w:rsidR="00590D46" w:rsidRPr="00C017E7">
        <w:rPr>
          <w:color w:val="auto"/>
        </w:rPr>
        <w:t>negoziata</w:t>
      </w:r>
      <w:r w:rsidRPr="00C017E7">
        <w:rPr>
          <w:color w:val="auto"/>
        </w:rPr>
        <w:t xml:space="preserve"> e con il criterio del prezzo più basso ai sensi dell’art. </w:t>
      </w:r>
      <w:r w:rsidR="00590D46" w:rsidRPr="00C017E7">
        <w:rPr>
          <w:color w:val="auto"/>
        </w:rPr>
        <w:t xml:space="preserve">36, comma </w:t>
      </w:r>
      <w:r w:rsidRPr="00C017E7">
        <w:rPr>
          <w:color w:val="auto"/>
        </w:rPr>
        <w:t>2</w:t>
      </w:r>
      <w:r w:rsidR="00590D46" w:rsidRPr="00C017E7">
        <w:rPr>
          <w:color w:val="auto"/>
        </w:rPr>
        <w:t>,</w:t>
      </w:r>
      <w:r w:rsidRPr="00C017E7">
        <w:rPr>
          <w:color w:val="auto"/>
        </w:rPr>
        <w:t xml:space="preserve"> del d. </w:t>
      </w:r>
      <w:proofErr w:type="spellStart"/>
      <w:r w:rsidRPr="00C017E7">
        <w:rPr>
          <w:color w:val="auto"/>
        </w:rPr>
        <w:t>lgs</w:t>
      </w:r>
      <w:proofErr w:type="spellEnd"/>
      <w:r w:rsidRPr="00C017E7">
        <w:rPr>
          <w:color w:val="auto"/>
        </w:rPr>
        <w:t xml:space="preserve"> </w:t>
      </w:r>
      <w:r w:rsidR="00590D46" w:rsidRPr="00C017E7">
        <w:rPr>
          <w:color w:val="auto"/>
        </w:rPr>
        <w:t>50</w:t>
      </w:r>
      <w:r w:rsidRPr="00C017E7">
        <w:rPr>
          <w:color w:val="auto"/>
        </w:rPr>
        <w:t>/20</w:t>
      </w:r>
      <w:r w:rsidR="00590D46" w:rsidRPr="00C017E7">
        <w:rPr>
          <w:color w:val="auto"/>
        </w:rPr>
        <w:t>1</w:t>
      </w:r>
      <w:r w:rsidRPr="00C017E7">
        <w:rPr>
          <w:color w:val="auto"/>
        </w:rPr>
        <w:t>6</w:t>
      </w:r>
      <w:r w:rsidRPr="00590D46">
        <w:rPr>
          <w:color w:val="auto"/>
        </w:rPr>
        <w:t xml:space="preserve">. </w:t>
      </w:r>
    </w:p>
    <w:p w:rsidR="002E47B7" w:rsidRPr="00590D46" w:rsidRDefault="00590D46" w:rsidP="00590D46">
      <w:pPr>
        <w:pStyle w:val="Default"/>
        <w:spacing w:line="360" w:lineRule="auto"/>
        <w:jc w:val="both"/>
        <w:rPr>
          <w:color w:val="auto"/>
        </w:rPr>
      </w:pPr>
      <w:r>
        <w:rPr>
          <w:color w:val="auto"/>
        </w:rPr>
        <w:t>I</w:t>
      </w:r>
      <w:r w:rsidR="002E47B7" w:rsidRPr="00590D46">
        <w:rPr>
          <w:color w:val="auto"/>
        </w:rPr>
        <w:t>l bando</w:t>
      </w:r>
      <w:r>
        <w:rPr>
          <w:color w:val="auto"/>
        </w:rPr>
        <w:t>, inoltre,</w:t>
      </w:r>
      <w:r w:rsidR="002E47B7" w:rsidRPr="00590D46">
        <w:rPr>
          <w:color w:val="auto"/>
        </w:rPr>
        <w:t xml:space="preserve"> </w:t>
      </w:r>
      <w:r w:rsidR="007D6C91">
        <w:rPr>
          <w:color w:val="auto"/>
        </w:rPr>
        <w:t>sar</w:t>
      </w:r>
      <w:r w:rsidR="001141B0" w:rsidRPr="00590D46">
        <w:rPr>
          <w:color w:val="auto"/>
        </w:rPr>
        <w:t xml:space="preserve">à pubblicato sul sito web </w:t>
      </w:r>
      <w:r w:rsidR="002E47B7" w:rsidRPr="00590D46">
        <w:rPr>
          <w:color w:val="auto"/>
        </w:rPr>
        <w:t xml:space="preserve">del Comune di </w:t>
      </w:r>
      <w:r w:rsidR="00801669" w:rsidRPr="00590D46">
        <w:rPr>
          <w:color w:val="auto"/>
        </w:rPr>
        <w:t>Vercelli</w:t>
      </w:r>
      <w:r w:rsidR="001141B0" w:rsidRPr="00590D46">
        <w:rPr>
          <w:color w:val="auto"/>
        </w:rPr>
        <w:t xml:space="preserve"> e </w:t>
      </w:r>
      <w:r w:rsidR="002E47B7" w:rsidRPr="00590D46">
        <w:rPr>
          <w:color w:val="auto"/>
        </w:rPr>
        <w:t>sul</w:t>
      </w:r>
      <w:r w:rsidR="001141B0" w:rsidRPr="00590D46">
        <w:rPr>
          <w:color w:val="auto"/>
        </w:rPr>
        <w:t xml:space="preserve"> relativo </w:t>
      </w:r>
      <w:r w:rsidR="002E47B7" w:rsidRPr="00590D46">
        <w:rPr>
          <w:color w:val="auto"/>
        </w:rPr>
        <w:t xml:space="preserve">Albo Pretorio.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1. ENTE APPALTANTE </w:t>
      </w:r>
    </w:p>
    <w:p w:rsidR="002E47B7" w:rsidRPr="00590D46" w:rsidRDefault="002E47B7" w:rsidP="00590D46">
      <w:pPr>
        <w:pStyle w:val="Default"/>
        <w:spacing w:line="360" w:lineRule="auto"/>
        <w:jc w:val="both"/>
        <w:rPr>
          <w:color w:val="auto"/>
        </w:rPr>
      </w:pPr>
      <w:r w:rsidRPr="00590D46">
        <w:rPr>
          <w:color w:val="auto"/>
        </w:rPr>
        <w:t xml:space="preserve">Comune di </w:t>
      </w:r>
      <w:r w:rsidR="001141B0" w:rsidRPr="00590D46">
        <w:rPr>
          <w:color w:val="auto"/>
        </w:rPr>
        <w:t xml:space="preserve">Vercelli </w:t>
      </w:r>
      <w:r w:rsidRPr="00590D46">
        <w:rPr>
          <w:color w:val="auto"/>
        </w:rPr>
        <w:t>sito web: www.comune.</w:t>
      </w:r>
      <w:r w:rsidR="001141B0" w:rsidRPr="00590D46">
        <w:rPr>
          <w:color w:val="auto"/>
        </w:rPr>
        <w:t>vercelli</w:t>
      </w:r>
      <w:r w:rsidRPr="00590D46">
        <w:rPr>
          <w:color w:val="auto"/>
        </w:rPr>
        <w:t xml:space="preserve">.it </w:t>
      </w:r>
    </w:p>
    <w:p w:rsidR="002E47B7" w:rsidRPr="00590D46" w:rsidRDefault="001141B0" w:rsidP="00590D46">
      <w:pPr>
        <w:pStyle w:val="Default"/>
        <w:spacing w:line="360" w:lineRule="auto"/>
        <w:jc w:val="both"/>
        <w:rPr>
          <w:color w:val="auto"/>
        </w:rPr>
      </w:pPr>
      <w:r w:rsidRPr="00590D46">
        <w:rPr>
          <w:color w:val="auto"/>
        </w:rPr>
        <w:t>Piazza Municipio</w:t>
      </w:r>
      <w:r w:rsidR="002E47B7" w:rsidRPr="00590D46">
        <w:rPr>
          <w:color w:val="auto"/>
        </w:rPr>
        <w:t xml:space="preserve"> 5 – </w:t>
      </w:r>
      <w:r w:rsidRPr="00590D46">
        <w:rPr>
          <w:color w:val="auto"/>
        </w:rPr>
        <w:t>13100</w:t>
      </w:r>
      <w:r w:rsidR="002E47B7" w:rsidRPr="00590D46">
        <w:rPr>
          <w:color w:val="auto"/>
        </w:rPr>
        <w:t xml:space="preserve"> </w:t>
      </w:r>
      <w:r w:rsidRPr="00590D46">
        <w:rPr>
          <w:color w:val="auto"/>
        </w:rPr>
        <w:t>VERCELLI</w:t>
      </w:r>
      <w:r w:rsidR="002E47B7" w:rsidRPr="00590D46">
        <w:rPr>
          <w:color w:val="auto"/>
        </w:rPr>
        <w:t xml:space="preserve"> </w:t>
      </w:r>
    </w:p>
    <w:p w:rsidR="002E47B7" w:rsidRDefault="002E47B7" w:rsidP="00590D46">
      <w:pPr>
        <w:pStyle w:val="Default"/>
        <w:spacing w:line="360" w:lineRule="auto"/>
        <w:jc w:val="both"/>
        <w:rPr>
          <w:color w:val="auto"/>
        </w:rPr>
      </w:pPr>
      <w:r w:rsidRPr="00590D46">
        <w:rPr>
          <w:color w:val="auto"/>
        </w:rPr>
        <w:t xml:space="preserve">Tel . </w:t>
      </w:r>
      <w:r w:rsidR="001141B0" w:rsidRPr="00590D46">
        <w:rPr>
          <w:color w:val="auto"/>
        </w:rPr>
        <w:t>0161596219</w:t>
      </w:r>
      <w:r w:rsidRPr="00590D46">
        <w:rPr>
          <w:color w:val="auto"/>
        </w:rPr>
        <w:t xml:space="preserve"> </w:t>
      </w:r>
    </w:p>
    <w:p w:rsidR="005D15C0" w:rsidRPr="005D15C0" w:rsidRDefault="005D15C0" w:rsidP="005D15C0">
      <w:pPr>
        <w:spacing w:line="240" w:lineRule="auto"/>
        <w:ind w:left="0"/>
        <w:rPr>
          <w:rFonts w:ascii="Times New Roman" w:eastAsia="Calibri" w:hAnsi="Times New Roman" w:cs="Times New Roman"/>
          <w:b/>
          <w:i/>
          <w:sz w:val="24"/>
          <w:szCs w:val="24"/>
        </w:rPr>
      </w:pPr>
      <w:r w:rsidRPr="005D15C0">
        <w:rPr>
          <w:rFonts w:ascii="Times New Roman" w:eastAsia="Calibri" w:hAnsi="Times New Roman" w:cs="Times New Roman"/>
          <w:b/>
          <w:i/>
          <w:sz w:val="24"/>
          <w:szCs w:val="24"/>
        </w:rPr>
        <w:t>Codice NUTS ITC12 L750</w:t>
      </w:r>
    </w:p>
    <w:p w:rsidR="005D15C0" w:rsidRPr="005D15C0" w:rsidRDefault="005D15C0" w:rsidP="005D15C0">
      <w:pPr>
        <w:pStyle w:val="Default"/>
        <w:jc w:val="both"/>
        <w:rPr>
          <w:color w:val="auto"/>
        </w:rPr>
      </w:pPr>
      <w:r w:rsidRPr="005D15C0">
        <w:rPr>
          <w:rFonts w:eastAsia="Calibri"/>
          <w:b/>
          <w:i/>
        </w:rPr>
        <w:t xml:space="preserve">Codice CPV </w:t>
      </w:r>
      <w:r w:rsidR="00BC4B48" w:rsidRPr="00BC4B48">
        <w:rPr>
          <w:b/>
          <w:i/>
        </w:rPr>
        <w:t>92512000-3</w:t>
      </w:r>
    </w:p>
    <w:p w:rsidR="005D15C0" w:rsidRDefault="005D15C0" w:rsidP="00590D46">
      <w:pPr>
        <w:pStyle w:val="Default"/>
        <w:spacing w:line="360" w:lineRule="auto"/>
        <w:jc w:val="both"/>
        <w:rPr>
          <w:color w:val="auto"/>
        </w:rPr>
      </w:pPr>
    </w:p>
    <w:p w:rsidR="002E47B7" w:rsidRPr="00590D46" w:rsidRDefault="002E47B7" w:rsidP="00590D46">
      <w:pPr>
        <w:pStyle w:val="Default"/>
        <w:spacing w:line="360" w:lineRule="auto"/>
        <w:jc w:val="both"/>
        <w:rPr>
          <w:color w:val="auto"/>
        </w:rPr>
      </w:pPr>
      <w:r w:rsidRPr="00590D46">
        <w:rPr>
          <w:color w:val="auto"/>
        </w:rPr>
        <w:t>Pec: protocollo@</w:t>
      </w:r>
      <w:r w:rsidR="001141B0" w:rsidRPr="00590D46">
        <w:rPr>
          <w:color w:val="auto"/>
        </w:rPr>
        <w:t>cert.</w:t>
      </w:r>
      <w:r w:rsidRPr="00590D46">
        <w:rPr>
          <w:color w:val="auto"/>
        </w:rPr>
        <w:t>comune.</w:t>
      </w:r>
      <w:r w:rsidR="001141B0" w:rsidRPr="00590D46">
        <w:rPr>
          <w:color w:val="auto"/>
        </w:rPr>
        <w:t>vercelli.</w:t>
      </w:r>
      <w:r w:rsidRPr="00590D46">
        <w:rPr>
          <w:color w:val="auto"/>
        </w:rPr>
        <w:t xml:space="preserve">it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2. OGGETTO DELL’APPALTO </w:t>
      </w:r>
    </w:p>
    <w:p w:rsidR="002E47B7" w:rsidRPr="007D6C91" w:rsidRDefault="002E47B7" w:rsidP="00590D46">
      <w:pPr>
        <w:pStyle w:val="Default"/>
        <w:spacing w:line="360" w:lineRule="auto"/>
        <w:jc w:val="both"/>
        <w:rPr>
          <w:color w:val="auto"/>
        </w:rPr>
      </w:pPr>
      <w:r w:rsidRPr="00590D46">
        <w:rPr>
          <w:color w:val="auto"/>
        </w:rPr>
        <w:t>L’appalto di cui alla presente gara riguarda l’affidamento del servizi</w:t>
      </w:r>
      <w:r w:rsidR="001141B0" w:rsidRPr="00590D46">
        <w:rPr>
          <w:color w:val="auto"/>
        </w:rPr>
        <w:t xml:space="preserve">o di </w:t>
      </w:r>
      <w:r w:rsidR="007660D2" w:rsidRPr="007660D2">
        <w:t>censimento, pulizia e spostamento e messa in sicurezza del patrimonio archivistico comunale</w:t>
      </w:r>
      <w:r w:rsidRPr="00590D46">
        <w:rPr>
          <w:color w:val="auto"/>
        </w:rPr>
        <w:t xml:space="preserve">, </w:t>
      </w:r>
      <w:r w:rsidRPr="007D6C91">
        <w:rPr>
          <w:color w:val="auto"/>
        </w:rPr>
        <w:t xml:space="preserve">con inizio presumibilmente dal </w:t>
      </w:r>
      <w:r w:rsidR="00036B9D" w:rsidRPr="007D6C91">
        <w:rPr>
          <w:color w:val="auto"/>
        </w:rPr>
        <w:t xml:space="preserve">mese di </w:t>
      </w:r>
      <w:r w:rsidR="007D6C91" w:rsidRPr="007D6C91">
        <w:rPr>
          <w:color w:val="auto"/>
        </w:rPr>
        <w:t>ottobre</w:t>
      </w:r>
      <w:r w:rsidR="00036B9D" w:rsidRPr="007D6C91">
        <w:rPr>
          <w:color w:val="auto"/>
        </w:rPr>
        <w:t xml:space="preserve"> 2016</w:t>
      </w:r>
      <w:r w:rsidR="001141B0" w:rsidRPr="007D6C91">
        <w:rPr>
          <w:color w:val="auto"/>
        </w:rPr>
        <w:t>.</w:t>
      </w:r>
    </w:p>
    <w:p w:rsidR="009B2211" w:rsidRPr="007D6C91" w:rsidRDefault="009B2211" w:rsidP="009B2211">
      <w:pPr>
        <w:pStyle w:val="Default"/>
        <w:spacing w:after="27" w:line="360" w:lineRule="auto"/>
        <w:jc w:val="both"/>
      </w:pPr>
      <w:r w:rsidRPr="007D6C91">
        <w:t>Il servizio dovrà svolgersi secondo le seguenti modalità:</w:t>
      </w:r>
    </w:p>
    <w:p w:rsidR="009B2211" w:rsidRPr="007D6C91" w:rsidRDefault="009B2211" w:rsidP="009B2211">
      <w:pPr>
        <w:pStyle w:val="Default"/>
        <w:spacing w:after="27" w:line="360" w:lineRule="auto"/>
        <w:jc w:val="both"/>
      </w:pPr>
      <w:r w:rsidRPr="007D6C91">
        <w:t>- 1° fase: servizio di censimento, pulizia e spostamento e messa in sicurezza del patrimonio archivistico comunale collocato presso lo “scantinato di Palazzo Civico”;</w:t>
      </w:r>
    </w:p>
    <w:p w:rsidR="009B2211" w:rsidRPr="007D6C91" w:rsidRDefault="009B2211" w:rsidP="009B2211">
      <w:pPr>
        <w:pStyle w:val="Default"/>
        <w:spacing w:after="27" w:line="360" w:lineRule="auto"/>
        <w:jc w:val="both"/>
      </w:pPr>
      <w:r w:rsidRPr="007D6C91">
        <w:t xml:space="preserve">- 2° fase: servizio di censimento, pulizia e spostamento e messa in sicurezza del patrimonio archivistico comunale collocato presso </w:t>
      </w:r>
      <w:r w:rsidR="007D6C91" w:rsidRPr="007D6C91">
        <w:t>i</w:t>
      </w:r>
      <w:r w:rsidRPr="007D6C91">
        <w:t xml:space="preserve">l “Palazzo dei </w:t>
      </w:r>
      <w:proofErr w:type="spellStart"/>
      <w:r w:rsidRPr="007D6C91">
        <w:t>Vialardi</w:t>
      </w:r>
      <w:proofErr w:type="spellEnd"/>
      <w:r w:rsidRPr="007D6C91">
        <w:t>”. Le operazione relative a tale fase potranno svolgersi previa messa in sicurezza del medesimo immobile, presumibilmente entro il 15.01.2017, salvo anticipo a seguito di apposita comunicazione da effettuarsi almeno 10 giorni prima dell’inizio dei lavori.</w:t>
      </w:r>
    </w:p>
    <w:p w:rsidR="009B2211" w:rsidRPr="007D6C91" w:rsidRDefault="009B2211" w:rsidP="00036B9D">
      <w:pPr>
        <w:pStyle w:val="Default"/>
        <w:spacing w:line="360" w:lineRule="auto"/>
        <w:jc w:val="both"/>
      </w:pPr>
    </w:p>
    <w:p w:rsidR="00036B9D" w:rsidRDefault="00036B9D" w:rsidP="00036B9D">
      <w:pPr>
        <w:pStyle w:val="Default"/>
        <w:spacing w:line="360" w:lineRule="auto"/>
        <w:jc w:val="both"/>
      </w:pPr>
      <w:r w:rsidRPr="007D6C91">
        <w:lastRenderedPageBreak/>
        <w:t>Si precisa</w:t>
      </w:r>
      <w:r w:rsidR="009B2211" w:rsidRPr="007D6C91">
        <w:t>, inoltre,</w:t>
      </w:r>
      <w:r w:rsidRPr="007D6C91">
        <w:t xml:space="preserve"> che potranno essere interessate dal servizio anche altre sedi attualmente destinate ad archivio, nel limite delle disponibilità economiche ed a giudizio insindacabile del Responsabile dell’esecuzione.</w:t>
      </w:r>
    </w:p>
    <w:p w:rsidR="001141B0" w:rsidRPr="00590D46" w:rsidRDefault="001141B0"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3. TIPO </w:t>
      </w:r>
      <w:proofErr w:type="spellStart"/>
      <w:r w:rsidRPr="00590D46">
        <w:rPr>
          <w:b/>
          <w:bCs/>
          <w:color w:val="auto"/>
        </w:rPr>
        <w:t>DI</w:t>
      </w:r>
      <w:proofErr w:type="spellEnd"/>
      <w:r w:rsidRPr="00590D46">
        <w:rPr>
          <w:b/>
          <w:bCs/>
          <w:color w:val="auto"/>
        </w:rPr>
        <w:t xml:space="preserve"> GARA: </w:t>
      </w:r>
      <w:r w:rsidRPr="00590D46">
        <w:rPr>
          <w:color w:val="auto"/>
        </w:rPr>
        <w:t xml:space="preserve">Procedura </w:t>
      </w:r>
      <w:r w:rsidR="007660D2">
        <w:rPr>
          <w:color w:val="auto"/>
        </w:rPr>
        <w:t>negoziata</w:t>
      </w:r>
      <w:r w:rsidRPr="00590D46">
        <w:rPr>
          <w:color w:val="auto"/>
        </w:rPr>
        <w:t xml:space="preserve"> ai sensi dell’art. 3</w:t>
      </w:r>
      <w:r w:rsidR="007660D2">
        <w:rPr>
          <w:color w:val="auto"/>
        </w:rPr>
        <w:t>6</w:t>
      </w:r>
      <w:r w:rsidRPr="00590D46">
        <w:rPr>
          <w:color w:val="auto"/>
        </w:rPr>
        <w:t xml:space="preserve">, comma </w:t>
      </w:r>
      <w:r w:rsidR="007660D2">
        <w:rPr>
          <w:color w:val="auto"/>
        </w:rPr>
        <w:t>2</w:t>
      </w:r>
      <w:r w:rsidRPr="00590D46">
        <w:rPr>
          <w:color w:val="auto"/>
        </w:rPr>
        <w:t xml:space="preserve">, del D. </w:t>
      </w:r>
      <w:proofErr w:type="spellStart"/>
      <w:r w:rsidRPr="00590D46">
        <w:rPr>
          <w:color w:val="auto"/>
        </w:rPr>
        <w:t>lgs</w:t>
      </w:r>
      <w:proofErr w:type="spellEnd"/>
      <w:r w:rsidRPr="00590D46">
        <w:rPr>
          <w:color w:val="auto"/>
        </w:rPr>
        <w:t xml:space="preserve">. </w:t>
      </w:r>
      <w:r w:rsidR="007660D2">
        <w:rPr>
          <w:color w:val="auto"/>
        </w:rPr>
        <w:t>50</w:t>
      </w:r>
      <w:r w:rsidRPr="00590D46">
        <w:rPr>
          <w:color w:val="auto"/>
        </w:rPr>
        <w:t>/20</w:t>
      </w:r>
      <w:r w:rsidR="007660D2">
        <w:rPr>
          <w:color w:val="auto"/>
        </w:rPr>
        <w:t>1</w:t>
      </w:r>
      <w:r w:rsidRPr="00590D46">
        <w:rPr>
          <w:color w:val="auto"/>
        </w:rPr>
        <w:t xml:space="preserve">6.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4. CRITERIO </w:t>
      </w:r>
      <w:proofErr w:type="spellStart"/>
      <w:r w:rsidRPr="00590D46">
        <w:rPr>
          <w:b/>
          <w:bCs/>
          <w:color w:val="auto"/>
        </w:rPr>
        <w:t>DI</w:t>
      </w:r>
      <w:proofErr w:type="spellEnd"/>
      <w:r w:rsidRPr="00590D46">
        <w:rPr>
          <w:b/>
          <w:bCs/>
          <w:color w:val="auto"/>
        </w:rPr>
        <w:t xml:space="preserve"> AGGIUDICAZIONE: </w:t>
      </w:r>
    </w:p>
    <w:p w:rsidR="002E47B7" w:rsidRPr="00590D46" w:rsidRDefault="002E47B7" w:rsidP="00590D46">
      <w:pPr>
        <w:pStyle w:val="Default"/>
        <w:spacing w:line="360" w:lineRule="auto"/>
        <w:jc w:val="both"/>
        <w:rPr>
          <w:color w:val="auto"/>
        </w:rPr>
      </w:pPr>
      <w:r w:rsidRPr="00590D46">
        <w:rPr>
          <w:color w:val="auto"/>
        </w:rPr>
        <w:t xml:space="preserve">L’appalto del servizio in oggetto sarà aggiudicato con il criterio </w:t>
      </w:r>
      <w:r w:rsidR="00E073B1" w:rsidRPr="00501A70">
        <w:t>del</w:t>
      </w:r>
      <w:r w:rsidR="00E073B1">
        <w:t>l’offerta economicamente più vantaggiosa, individuata sulla base del miglior rapporto qualità prezzo,</w:t>
      </w:r>
      <w:r w:rsidR="00E073B1" w:rsidRPr="00501A70">
        <w:t xml:space="preserve"> ai sensi dell’art. 95, comma </w:t>
      </w:r>
      <w:r w:rsidR="00E073B1">
        <w:t>3</w:t>
      </w:r>
      <w:r w:rsidR="00E073B1" w:rsidRPr="00501A70">
        <w:t>, lett</w:t>
      </w:r>
      <w:r w:rsidR="00E073B1">
        <w:t>.</w:t>
      </w:r>
      <w:r w:rsidR="00E073B1" w:rsidRPr="00501A70">
        <w:t xml:space="preserve"> </w:t>
      </w:r>
      <w:r w:rsidR="00E073B1">
        <w:rPr>
          <w:i/>
        </w:rPr>
        <w:t>a</w:t>
      </w:r>
      <w:r w:rsidR="00E073B1" w:rsidRPr="00501A70">
        <w:rPr>
          <w:i/>
        </w:rPr>
        <w:t>)</w:t>
      </w:r>
      <w:r w:rsidR="00E073B1" w:rsidRPr="00501A70">
        <w:t xml:space="preserve">, del D. </w:t>
      </w:r>
      <w:proofErr w:type="spellStart"/>
      <w:r w:rsidR="00E073B1" w:rsidRPr="00501A70">
        <w:t>lgs</w:t>
      </w:r>
      <w:proofErr w:type="spellEnd"/>
      <w:r w:rsidR="00E073B1" w:rsidRPr="00501A70">
        <w:t>. n. 50/2016</w:t>
      </w:r>
      <w:r w:rsidRPr="00590D46">
        <w:rPr>
          <w:color w:val="auto"/>
        </w:rPr>
        <w:t xml:space="preserve">, non si procederà all'aggiudicazione se nessuna offerta risulti conveniente o idonea in relazione all'oggetto del contratto.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5. ANOMALIA DELLE OFFERTE </w:t>
      </w:r>
    </w:p>
    <w:p w:rsidR="002E47B7" w:rsidRPr="00590D46" w:rsidRDefault="002E47B7" w:rsidP="00590D46">
      <w:pPr>
        <w:pStyle w:val="Default"/>
        <w:spacing w:line="360" w:lineRule="auto"/>
        <w:jc w:val="both"/>
        <w:rPr>
          <w:color w:val="auto"/>
        </w:rPr>
      </w:pPr>
      <w:r w:rsidRPr="00590D46">
        <w:rPr>
          <w:color w:val="auto"/>
        </w:rPr>
        <w:t>La stazione appaltante valuta la congruità delle offerte che presentano un ribasso pari o superiore alla sogl</w:t>
      </w:r>
      <w:r w:rsidR="00590D46">
        <w:rPr>
          <w:color w:val="auto"/>
        </w:rPr>
        <w:t>ia di anomalia di cui all’art. 97</w:t>
      </w:r>
      <w:r w:rsidRPr="00590D46">
        <w:rPr>
          <w:color w:val="auto"/>
        </w:rPr>
        <w:t xml:space="preserve"> del D.lgs. </w:t>
      </w:r>
      <w:r w:rsidR="00590D46">
        <w:rPr>
          <w:color w:val="auto"/>
        </w:rPr>
        <w:t>50</w:t>
      </w:r>
      <w:r w:rsidRPr="00590D46">
        <w:rPr>
          <w:color w:val="auto"/>
        </w:rPr>
        <w:t>/20</w:t>
      </w:r>
      <w:r w:rsidR="00590D46">
        <w:rPr>
          <w:color w:val="auto"/>
        </w:rPr>
        <w:t>1</w:t>
      </w:r>
      <w:r w:rsidRPr="00590D46">
        <w:rPr>
          <w:color w:val="auto"/>
        </w:rPr>
        <w:t xml:space="preserve">6. </w:t>
      </w:r>
    </w:p>
    <w:p w:rsidR="002E47B7" w:rsidRPr="00590D46" w:rsidRDefault="002E47B7" w:rsidP="00590D46">
      <w:pPr>
        <w:pStyle w:val="Default"/>
        <w:spacing w:line="360" w:lineRule="auto"/>
        <w:jc w:val="both"/>
        <w:rPr>
          <w:color w:val="auto"/>
        </w:rPr>
      </w:pPr>
      <w:r w:rsidRPr="00590D46">
        <w:rPr>
          <w:color w:val="auto"/>
        </w:rPr>
        <w:t xml:space="preserve">Non sono ammesse varianti al Capitolato Speciale di Appalto. </w:t>
      </w:r>
    </w:p>
    <w:p w:rsidR="002E47B7" w:rsidRPr="00590D46" w:rsidRDefault="002E47B7" w:rsidP="00590D46">
      <w:pPr>
        <w:pStyle w:val="Default"/>
        <w:spacing w:line="360" w:lineRule="auto"/>
        <w:jc w:val="both"/>
        <w:rPr>
          <w:color w:val="auto"/>
        </w:rPr>
      </w:pPr>
      <w:r w:rsidRPr="00590D46">
        <w:rPr>
          <w:color w:val="auto"/>
        </w:rPr>
        <w:t xml:space="preserve">Si procederà all’aggiudicazione anche in caso di unica offerta, purché soddisfacente ed economicamente congrua. In caso di offerte congrue uguali, si procederà all’aggiudicazione mediante sorteggio a norma del 2° comma dell’art. 77 del R.D. 23.05.1924, n. 827. </w:t>
      </w:r>
    </w:p>
    <w:p w:rsidR="002E47B7" w:rsidRPr="00590D46" w:rsidRDefault="002E47B7" w:rsidP="00590D46">
      <w:pPr>
        <w:pStyle w:val="Default"/>
        <w:spacing w:line="360" w:lineRule="auto"/>
        <w:jc w:val="both"/>
        <w:rPr>
          <w:color w:val="auto"/>
        </w:rPr>
      </w:pPr>
      <w:r w:rsidRPr="00590D46">
        <w:rPr>
          <w:color w:val="auto"/>
        </w:rPr>
        <w:t xml:space="preserve">Non sono ammesse offerte economiche di importo pari alla base d’asta o in aumento. </w:t>
      </w:r>
    </w:p>
    <w:p w:rsidR="001141B0" w:rsidRPr="00590D46" w:rsidRDefault="001141B0"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Validità dell’offerta </w:t>
      </w:r>
      <w:r w:rsidRPr="00590D46">
        <w:rPr>
          <w:color w:val="auto"/>
        </w:rPr>
        <w:t xml:space="preserve">= 180 giorni dalla scadenza del termine di presentazione dell’offerta. </w:t>
      </w:r>
    </w:p>
    <w:p w:rsidR="002E47B7" w:rsidRPr="00590D46" w:rsidRDefault="002E47B7" w:rsidP="00590D46">
      <w:pPr>
        <w:pStyle w:val="Default"/>
        <w:spacing w:line="360" w:lineRule="auto"/>
        <w:jc w:val="both"/>
        <w:rPr>
          <w:color w:val="auto"/>
        </w:rPr>
      </w:pPr>
      <w:r w:rsidRPr="00590D46">
        <w:rPr>
          <w:color w:val="auto"/>
        </w:rPr>
        <w:t xml:space="preserve">L’Ente appaltante si riserva, senza che il concorrente e/o aggiudicatario possa vantare alcun diritto ad indennizzi, a rimborsi, o a qualsivoglia altra forma risarcitoria, a qualsiasi titolo pretesi, la facoltà di non procedere all'aggiudicazione qualora tutte le offerte risultassero insoddisfacenti e/o economicamente incongrue.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6. IMPORTO </w:t>
      </w:r>
      <w:proofErr w:type="spellStart"/>
      <w:r w:rsidRPr="00590D46">
        <w:rPr>
          <w:b/>
          <w:bCs/>
          <w:color w:val="auto"/>
        </w:rPr>
        <w:t>DI</w:t>
      </w:r>
      <w:proofErr w:type="spellEnd"/>
      <w:r w:rsidRPr="00590D46">
        <w:rPr>
          <w:b/>
          <w:bCs/>
          <w:color w:val="auto"/>
        </w:rPr>
        <w:t xml:space="preserve"> GARA E VALORE DELL’APPALTO </w:t>
      </w:r>
    </w:p>
    <w:p w:rsidR="008E7FF1" w:rsidRPr="009F23CD" w:rsidRDefault="002E47B7" w:rsidP="00590D46">
      <w:pPr>
        <w:pStyle w:val="Default"/>
        <w:spacing w:line="360" w:lineRule="auto"/>
        <w:jc w:val="both"/>
        <w:rPr>
          <w:color w:val="auto"/>
        </w:rPr>
      </w:pPr>
      <w:r w:rsidRPr="009F23CD">
        <w:rPr>
          <w:color w:val="auto"/>
        </w:rPr>
        <w:t xml:space="preserve">L’importo a base di gara è di </w:t>
      </w:r>
      <w:r w:rsidR="008E7FF1" w:rsidRPr="009F23CD">
        <w:rPr>
          <w:color w:val="auto"/>
        </w:rPr>
        <w:t>€ 4</w:t>
      </w:r>
      <w:r w:rsidR="009B2211" w:rsidRPr="009F23CD">
        <w:rPr>
          <w:color w:val="auto"/>
        </w:rPr>
        <w:t>5</w:t>
      </w:r>
      <w:r w:rsidR="008E7FF1" w:rsidRPr="009F23CD">
        <w:rPr>
          <w:color w:val="auto"/>
        </w:rPr>
        <w:t>,00 (oltre ad IVA)</w:t>
      </w:r>
      <w:r w:rsidR="00C017E7" w:rsidRPr="009F23CD">
        <w:rPr>
          <w:color w:val="auto"/>
        </w:rPr>
        <w:t xml:space="preserve"> al metro lineare</w:t>
      </w:r>
      <w:r w:rsidRPr="009F23CD">
        <w:rPr>
          <w:color w:val="auto"/>
        </w:rPr>
        <w:t xml:space="preserve">. L’ammontare </w:t>
      </w:r>
      <w:r w:rsidR="0063412B" w:rsidRPr="009F23CD">
        <w:rPr>
          <w:color w:val="auto"/>
        </w:rPr>
        <w:t xml:space="preserve">complessivo </w:t>
      </w:r>
      <w:r w:rsidR="00C017E7" w:rsidRPr="009F23CD">
        <w:rPr>
          <w:color w:val="auto"/>
        </w:rPr>
        <w:t xml:space="preserve">presunto </w:t>
      </w:r>
      <w:r w:rsidRPr="009F23CD">
        <w:rPr>
          <w:color w:val="auto"/>
        </w:rPr>
        <w:t xml:space="preserve">dell’appalto è di € </w:t>
      </w:r>
      <w:r w:rsidR="008E7FF1" w:rsidRPr="009F23CD">
        <w:rPr>
          <w:color w:val="auto"/>
        </w:rPr>
        <w:t>1</w:t>
      </w:r>
      <w:r w:rsidR="009F23CD" w:rsidRPr="009F23CD">
        <w:rPr>
          <w:color w:val="auto"/>
        </w:rPr>
        <w:t>1</w:t>
      </w:r>
      <w:r w:rsidR="008E7FF1" w:rsidRPr="009F23CD">
        <w:rPr>
          <w:color w:val="auto"/>
        </w:rPr>
        <w:t>3.</w:t>
      </w:r>
      <w:r w:rsidR="009B2211" w:rsidRPr="009F23CD">
        <w:rPr>
          <w:color w:val="auto"/>
        </w:rPr>
        <w:t>5</w:t>
      </w:r>
      <w:r w:rsidR="009F23CD" w:rsidRPr="009F23CD">
        <w:rPr>
          <w:color w:val="auto"/>
        </w:rPr>
        <w:t>0</w:t>
      </w:r>
      <w:r w:rsidR="009B2211" w:rsidRPr="009F23CD">
        <w:rPr>
          <w:color w:val="auto"/>
        </w:rPr>
        <w:t>0</w:t>
      </w:r>
      <w:r w:rsidR="008E7FF1" w:rsidRPr="009F23CD">
        <w:rPr>
          <w:color w:val="auto"/>
        </w:rPr>
        <w:t>,00</w:t>
      </w:r>
      <w:r w:rsidRPr="009F23CD">
        <w:rPr>
          <w:color w:val="auto"/>
        </w:rPr>
        <w:t xml:space="preserve"> </w:t>
      </w:r>
      <w:r w:rsidR="009F23CD" w:rsidRPr="009F23CD">
        <w:rPr>
          <w:color w:val="auto"/>
        </w:rPr>
        <w:t xml:space="preserve">esclusa </w:t>
      </w:r>
      <w:r w:rsidRPr="009F23CD">
        <w:rPr>
          <w:color w:val="auto"/>
        </w:rPr>
        <w:t>IVA</w:t>
      </w:r>
      <w:r w:rsidR="005F6BBE" w:rsidRPr="009F23CD">
        <w:rPr>
          <w:color w:val="auto"/>
        </w:rPr>
        <w:t xml:space="preserve">, così calcolato: </w:t>
      </w:r>
    </w:p>
    <w:p w:rsidR="00A031B8" w:rsidRPr="009F23CD" w:rsidRDefault="008E7FF1" w:rsidP="00590D46">
      <w:pPr>
        <w:pStyle w:val="Default"/>
        <w:spacing w:line="360" w:lineRule="auto"/>
        <w:jc w:val="both"/>
        <w:rPr>
          <w:color w:val="auto"/>
        </w:rPr>
      </w:pPr>
      <w:r w:rsidRPr="009F23CD">
        <w:rPr>
          <w:color w:val="auto"/>
        </w:rPr>
        <w:t>Valore contrattuale:</w:t>
      </w:r>
      <w:r w:rsidRPr="009F23CD">
        <w:rPr>
          <w:b/>
          <w:color w:val="auto"/>
        </w:rPr>
        <w:t xml:space="preserve"> 2</w:t>
      </w:r>
      <w:r w:rsidR="0035413C">
        <w:rPr>
          <w:b/>
          <w:color w:val="auto"/>
        </w:rPr>
        <w:t>.</w:t>
      </w:r>
      <w:r w:rsidR="009B2211" w:rsidRPr="009F23CD">
        <w:rPr>
          <w:b/>
          <w:color w:val="auto"/>
        </w:rPr>
        <w:t>5</w:t>
      </w:r>
      <w:r w:rsidRPr="009F23CD">
        <w:rPr>
          <w:b/>
          <w:color w:val="auto"/>
        </w:rPr>
        <w:t>00</w:t>
      </w:r>
      <w:r w:rsidR="005F6BBE" w:rsidRPr="009F23CD">
        <w:rPr>
          <w:color w:val="auto"/>
        </w:rPr>
        <w:t xml:space="preserve"> metri lineari x </w:t>
      </w:r>
      <w:r w:rsidRPr="009F23CD">
        <w:rPr>
          <w:color w:val="auto"/>
        </w:rPr>
        <w:t>€ 4</w:t>
      </w:r>
      <w:r w:rsidR="009B2211" w:rsidRPr="009F23CD">
        <w:rPr>
          <w:color w:val="auto"/>
        </w:rPr>
        <w:t>5</w:t>
      </w:r>
      <w:r w:rsidRPr="009F23CD">
        <w:rPr>
          <w:color w:val="auto"/>
        </w:rPr>
        <w:t xml:space="preserve">,00 </w:t>
      </w:r>
      <w:r w:rsidR="005F6BBE" w:rsidRPr="009F23CD">
        <w:rPr>
          <w:color w:val="auto"/>
        </w:rPr>
        <w:t>al metro lineare</w:t>
      </w:r>
      <w:r w:rsidRPr="009F23CD">
        <w:rPr>
          <w:color w:val="auto"/>
        </w:rPr>
        <w:t xml:space="preserve"> </w:t>
      </w:r>
      <w:r w:rsidR="005F6BBE" w:rsidRPr="009F23CD">
        <w:rPr>
          <w:color w:val="auto"/>
        </w:rPr>
        <w:t xml:space="preserve">= </w:t>
      </w:r>
      <w:r w:rsidR="0035413C">
        <w:rPr>
          <w:color w:val="auto"/>
        </w:rPr>
        <w:t xml:space="preserve">€ </w:t>
      </w:r>
      <w:r w:rsidR="009B2211" w:rsidRPr="009F23CD">
        <w:rPr>
          <w:color w:val="auto"/>
        </w:rPr>
        <w:t>112.5</w:t>
      </w:r>
      <w:r w:rsidRPr="009F23CD">
        <w:rPr>
          <w:color w:val="auto"/>
        </w:rPr>
        <w:t>00,00</w:t>
      </w:r>
      <w:r w:rsidR="005F6BBE" w:rsidRPr="009F23CD">
        <w:rPr>
          <w:color w:val="auto"/>
        </w:rPr>
        <w:t xml:space="preserve"> </w:t>
      </w:r>
      <w:r w:rsidR="0035413C">
        <w:rPr>
          <w:color w:val="auto"/>
        </w:rPr>
        <w:t>più</w:t>
      </w:r>
      <w:r w:rsidR="004D4E84">
        <w:rPr>
          <w:color w:val="auto"/>
        </w:rPr>
        <w:t xml:space="preserve"> </w:t>
      </w:r>
      <w:r w:rsidR="0035413C">
        <w:rPr>
          <w:color w:val="auto"/>
        </w:rPr>
        <w:t xml:space="preserve">Oneri per la sicurezza € </w:t>
      </w:r>
      <w:r w:rsidR="00A031B8" w:rsidRPr="009F23CD">
        <w:rPr>
          <w:color w:val="auto"/>
        </w:rPr>
        <w:t>1.000,</w:t>
      </w:r>
      <w:r w:rsidR="009F23CD" w:rsidRPr="009F23CD">
        <w:rPr>
          <w:color w:val="auto"/>
        </w:rPr>
        <w:t>0</w:t>
      </w:r>
      <w:r w:rsidR="00A031B8" w:rsidRPr="009F23CD">
        <w:rPr>
          <w:color w:val="auto"/>
        </w:rPr>
        <w:t>0 (non soggetti a ribasso)</w:t>
      </w:r>
      <w:r w:rsidR="002E47B7" w:rsidRPr="009F23CD">
        <w:rPr>
          <w:color w:val="auto"/>
        </w:rPr>
        <w:t>.</w:t>
      </w:r>
    </w:p>
    <w:p w:rsidR="009A6440" w:rsidRPr="009F23CD" w:rsidRDefault="009A6440" w:rsidP="00590D46">
      <w:pPr>
        <w:pStyle w:val="Default"/>
        <w:spacing w:line="360" w:lineRule="auto"/>
        <w:jc w:val="both"/>
        <w:rPr>
          <w:color w:val="auto"/>
        </w:rPr>
      </w:pPr>
      <w:r w:rsidRPr="009F23CD">
        <w:rPr>
          <w:color w:val="auto"/>
        </w:rPr>
        <w:lastRenderedPageBreak/>
        <w:t>Sarà possibile uti</w:t>
      </w:r>
      <w:r w:rsidR="00E96354" w:rsidRPr="009F23CD">
        <w:rPr>
          <w:color w:val="auto"/>
        </w:rPr>
        <w:t xml:space="preserve">lizzare, eventualmente, </w:t>
      </w:r>
      <w:r w:rsidR="00E53481" w:rsidRPr="009F23CD">
        <w:rPr>
          <w:color w:val="auto"/>
        </w:rPr>
        <w:t>le somme risultanti da economie di spesa prodotte in seguito al</w:t>
      </w:r>
      <w:r w:rsidR="00E96354" w:rsidRPr="009F23CD">
        <w:rPr>
          <w:color w:val="auto"/>
        </w:rPr>
        <w:t xml:space="preserve"> ribasso offerto</w:t>
      </w:r>
      <w:r w:rsidR="00E53481" w:rsidRPr="009F23CD">
        <w:rPr>
          <w:color w:val="auto"/>
        </w:rPr>
        <w:t xml:space="preserve"> in sede di gara</w:t>
      </w:r>
      <w:r w:rsidR="00E96354" w:rsidRPr="009F23CD">
        <w:rPr>
          <w:color w:val="auto"/>
        </w:rPr>
        <w:t xml:space="preserve"> per l’affidamento del riordino di ulteriori metri lineari d’archivio.</w:t>
      </w:r>
    </w:p>
    <w:p w:rsidR="002E47B7" w:rsidRDefault="009A6440" w:rsidP="00590D46">
      <w:pPr>
        <w:pStyle w:val="Default"/>
        <w:spacing w:line="360" w:lineRule="auto"/>
        <w:jc w:val="both"/>
        <w:rPr>
          <w:color w:val="auto"/>
        </w:rPr>
      </w:pPr>
      <w:r w:rsidRPr="009F23CD">
        <w:rPr>
          <w:color w:val="auto"/>
        </w:rPr>
        <w:t xml:space="preserve">Ci si riserva la facoltà di integrare l’appalto </w:t>
      </w:r>
      <w:r w:rsidR="007A5458">
        <w:rPr>
          <w:color w:val="auto"/>
        </w:rPr>
        <w:t>con</w:t>
      </w:r>
      <w:r w:rsidRPr="009F23CD">
        <w:rPr>
          <w:color w:val="auto"/>
        </w:rPr>
        <w:t xml:space="preserve"> ulteriori risorse di</w:t>
      </w:r>
      <w:r w:rsidR="00A031B8" w:rsidRPr="009F23CD">
        <w:rPr>
          <w:color w:val="auto"/>
        </w:rPr>
        <w:t>sponibili</w:t>
      </w:r>
      <w:r w:rsidR="009F23CD" w:rsidRPr="009F23CD">
        <w:rPr>
          <w:color w:val="auto"/>
        </w:rPr>
        <w:t xml:space="preserve"> e, comunque, nel limite della soglia di cui all’art. 35 del D.lgs. n 50 del 2016</w:t>
      </w:r>
      <w:r w:rsidRPr="009F23CD">
        <w:rPr>
          <w:color w:val="auto"/>
        </w:rPr>
        <w:t>.</w:t>
      </w:r>
      <w:r w:rsidR="002E47B7" w:rsidRPr="00590D46">
        <w:rPr>
          <w:color w:val="auto"/>
        </w:rPr>
        <w:t xml:space="preserve"> </w:t>
      </w:r>
    </w:p>
    <w:p w:rsidR="00EB2E1E" w:rsidRPr="00EB2E1E" w:rsidRDefault="00EB2E1E" w:rsidP="00EB2E1E">
      <w:pPr>
        <w:pStyle w:val="Default"/>
        <w:spacing w:line="360" w:lineRule="auto"/>
        <w:jc w:val="both"/>
        <w:rPr>
          <w:color w:val="auto"/>
        </w:rPr>
      </w:pPr>
      <w:r w:rsidRPr="00EB2E1E">
        <w:rPr>
          <w:color w:val="auto"/>
        </w:rPr>
        <w:t xml:space="preserve">I pagamenti verranno effettuati sulla base dei metri lineari di archivio lavorati, facendo riferimento al metro lineare prodotto dopo le operazioni di pulizia, spostamento, scarto e </w:t>
      </w:r>
      <w:proofErr w:type="spellStart"/>
      <w:r w:rsidRPr="00EB2E1E">
        <w:rPr>
          <w:color w:val="auto"/>
        </w:rPr>
        <w:t>ricatalogazione</w:t>
      </w:r>
      <w:proofErr w:type="spellEnd"/>
      <w:r w:rsidRPr="00EB2E1E">
        <w:rPr>
          <w:color w:val="auto"/>
        </w:rPr>
        <w:t>.</w:t>
      </w:r>
    </w:p>
    <w:p w:rsidR="00EB2E1E" w:rsidRPr="00590D46" w:rsidRDefault="00EB2E1E" w:rsidP="00590D46">
      <w:pPr>
        <w:pStyle w:val="Default"/>
        <w:spacing w:line="360" w:lineRule="auto"/>
        <w:jc w:val="both"/>
        <w:rPr>
          <w:color w:val="auto"/>
        </w:rPr>
      </w:pP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7. STIPULAZIONE </w:t>
      </w:r>
      <w:r w:rsidR="009B2211">
        <w:rPr>
          <w:b/>
          <w:bCs/>
          <w:color w:val="auto"/>
        </w:rPr>
        <w:t xml:space="preserve">E FORMA </w:t>
      </w:r>
      <w:r w:rsidRPr="00590D46">
        <w:rPr>
          <w:b/>
          <w:bCs/>
          <w:color w:val="auto"/>
        </w:rPr>
        <w:t xml:space="preserve">DEL CONTRATTO </w:t>
      </w:r>
    </w:p>
    <w:p w:rsidR="009B2211" w:rsidRPr="00590D46" w:rsidRDefault="009B2211" w:rsidP="009B2211">
      <w:pPr>
        <w:pStyle w:val="Default"/>
        <w:spacing w:line="360" w:lineRule="auto"/>
        <w:jc w:val="both"/>
        <w:rPr>
          <w:color w:val="auto"/>
        </w:rPr>
      </w:pPr>
      <w:r w:rsidRPr="00590D46">
        <w:rPr>
          <w:color w:val="auto"/>
        </w:rPr>
        <w:t xml:space="preserve">Il contratto sarà stipulato per iscritto in forma pubblica amministrativa. </w:t>
      </w:r>
    </w:p>
    <w:p w:rsidR="002E47B7" w:rsidRPr="00590D46" w:rsidRDefault="002E47B7" w:rsidP="00590D46">
      <w:pPr>
        <w:pStyle w:val="Default"/>
        <w:spacing w:line="360" w:lineRule="auto"/>
        <w:jc w:val="both"/>
        <w:rPr>
          <w:color w:val="auto"/>
        </w:rPr>
      </w:pPr>
      <w:r w:rsidRPr="00590D46">
        <w:rPr>
          <w:color w:val="auto"/>
        </w:rPr>
        <w:t xml:space="preserve">Prima di procedere alla stipula del contratto verranno effettuati i controlli di legge per verificare la veridicità delle dichiarazioni presentate in fase di gara. </w:t>
      </w:r>
    </w:p>
    <w:p w:rsidR="002E47B7" w:rsidRPr="00590D46" w:rsidRDefault="002E47B7" w:rsidP="00590D46">
      <w:pPr>
        <w:pStyle w:val="Default"/>
        <w:spacing w:line="360" w:lineRule="auto"/>
        <w:jc w:val="both"/>
        <w:rPr>
          <w:color w:val="auto"/>
        </w:rPr>
      </w:pPr>
      <w:r w:rsidRPr="00590D46">
        <w:rPr>
          <w:color w:val="auto"/>
        </w:rPr>
        <w:t>La stipulazione del contratto ha luogo entro 60 giorni dall</w:t>
      </w:r>
      <w:r w:rsidR="001B68AF">
        <w:rPr>
          <w:color w:val="auto"/>
        </w:rPr>
        <w:t xml:space="preserve">a proposta di </w:t>
      </w:r>
      <w:r w:rsidRPr="00590D46">
        <w:rPr>
          <w:color w:val="auto"/>
        </w:rPr>
        <w:t xml:space="preserve">aggiudicazione e comunque non prima che siano decorsi 35 </w:t>
      </w:r>
      <w:r w:rsidR="00C017E7">
        <w:rPr>
          <w:color w:val="auto"/>
        </w:rPr>
        <w:t xml:space="preserve">giorni </w:t>
      </w:r>
      <w:r w:rsidRPr="00590D46">
        <w:rPr>
          <w:color w:val="auto"/>
        </w:rPr>
        <w:t xml:space="preserve">dall’invio dell’ultima delle comunicazioni ai </w:t>
      </w:r>
      <w:proofErr w:type="spellStart"/>
      <w:r w:rsidRPr="00590D46">
        <w:rPr>
          <w:color w:val="auto"/>
        </w:rPr>
        <w:t>controinteressati</w:t>
      </w:r>
      <w:proofErr w:type="spellEnd"/>
      <w:r w:rsidRPr="00590D46">
        <w:rPr>
          <w:color w:val="auto"/>
        </w:rPr>
        <w:t xml:space="preserve"> del medesimo provvedimento di aggiudicazione (art. </w:t>
      </w:r>
      <w:r w:rsidR="00590D46">
        <w:rPr>
          <w:color w:val="auto"/>
        </w:rPr>
        <w:t>32</w:t>
      </w:r>
      <w:r w:rsidRPr="00590D46">
        <w:rPr>
          <w:color w:val="auto"/>
        </w:rPr>
        <w:t>, comm</w:t>
      </w:r>
      <w:r w:rsidR="0049647B">
        <w:rPr>
          <w:color w:val="auto"/>
        </w:rPr>
        <w:t>a</w:t>
      </w:r>
      <w:r w:rsidRPr="00590D46">
        <w:rPr>
          <w:color w:val="auto"/>
        </w:rPr>
        <w:t xml:space="preserve"> 9, </w:t>
      </w:r>
      <w:proofErr w:type="spellStart"/>
      <w:r w:rsidRPr="00590D46">
        <w:rPr>
          <w:color w:val="auto"/>
        </w:rPr>
        <w:t>D.Lgs.</w:t>
      </w:r>
      <w:proofErr w:type="spellEnd"/>
      <w:r w:rsidRPr="00590D46">
        <w:rPr>
          <w:color w:val="auto"/>
        </w:rPr>
        <w:t xml:space="preserve"> n. </w:t>
      </w:r>
      <w:r w:rsidR="00590D46">
        <w:rPr>
          <w:color w:val="auto"/>
        </w:rPr>
        <w:t>50</w:t>
      </w:r>
      <w:r w:rsidRPr="00590D46">
        <w:rPr>
          <w:color w:val="auto"/>
        </w:rPr>
        <w:t>/20</w:t>
      </w:r>
      <w:r w:rsidR="00590D46">
        <w:rPr>
          <w:color w:val="auto"/>
        </w:rPr>
        <w:t>16</w:t>
      </w:r>
      <w:r w:rsidRPr="00590D46">
        <w:rPr>
          <w:color w:val="auto"/>
        </w:rPr>
        <w:t xml:space="preserve">). </w:t>
      </w:r>
    </w:p>
    <w:p w:rsidR="002E47B7" w:rsidRPr="00590D46" w:rsidRDefault="002E47B7" w:rsidP="00590D46">
      <w:pPr>
        <w:pStyle w:val="Default"/>
        <w:spacing w:line="360" w:lineRule="auto"/>
        <w:jc w:val="both"/>
        <w:rPr>
          <w:color w:val="auto"/>
        </w:rPr>
      </w:pPr>
      <w:r w:rsidRPr="00590D46">
        <w:rPr>
          <w:color w:val="auto"/>
        </w:rPr>
        <w:t xml:space="preserve">Tale termine dilatorio non si applica nel caso in cui sia stata presentata o sia stata ammessa una sola offerta e non siano state tempestivamente proposte impugnazioni del bando di gara o queste impugnazioni risultino già respinte con decisione definitiva. </w:t>
      </w:r>
    </w:p>
    <w:p w:rsidR="002E47B7" w:rsidRPr="00590D46" w:rsidRDefault="002E47B7" w:rsidP="00590D46">
      <w:pPr>
        <w:pStyle w:val="Default"/>
        <w:spacing w:line="360" w:lineRule="auto"/>
        <w:jc w:val="both"/>
        <w:rPr>
          <w:color w:val="auto"/>
        </w:rPr>
      </w:pPr>
      <w:r w:rsidRPr="00590D46">
        <w:rPr>
          <w:color w:val="auto"/>
        </w:rPr>
        <w:t xml:space="preserve">A tal fine dovrà essere presentata ricevuta attestante la costituzione della garanzia cauzionale. </w:t>
      </w:r>
    </w:p>
    <w:p w:rsidR="00FC1358" w:rsidRDefault="00FC1358"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8. LUOGO </w:t>
      </w:r>
      <w:proofErr w:type="spellStart"/>
      <w:r w:rsidRPr="00590D46">
        <w:rPr>
          <w:b/>
          <w:bCs/>
          <w:color w:val="auto"/>
        </w:rPr>
        <w:t>DI</w:t>
      </w:r>
      <w:proofErr w:type="spellEnd"/>
      <w:r w:rsidRPr="00590D46">
        <w:rPr>
          <w:b/>
          <w:bCs/>
          <w:color w:val="auto"/>
        </w:rPr>
        <w:t xml:space="preserve"> ESECUZIONE </w:t>
      </w:r>
    </w:p>
    <w:p w:rsidR="002E47B7" w:rsidRPr="00590D46" w:rsidRDefault="002E47B7" w:rsidP="00590D46">
      <w:pPr>
        <w:pStyle w:val="Default"/>
        <w:spacing w:line="360" w:lineRule="auto"/>
        <w:jc w:val="both"/>
        <w:rPr>
          <w:color w:val="auto"/>
        </w:rPr>
      </w:pPr>
      <w:r w:rsidRPr="00590D46">
        <w:rPr>
          <w:color w:val="auto"/>
        </w:rPr>
        <w:t xml:space="preserve">Il servizio in oggetto avrà luogo presso </w:t>
      </w:r>
      <w:r w:rsidR="004D3C1F" w:rsidRPr="00590D46">
        <w:rPr>
          <w:color w:val="auto"/>
        </w:rPr>
        <w:t xml:space="preserve">il </w:t>
      </w:r>
      <w:r w:rsidR="00C017E7">
        <w:rPr>
          <w:color w:val="auto"/>
        </w:rPr>
        <w:t>Comune di Vercelli e/o presso le sedi in disponibilità dell’Amministrazione Comunale</w:t>
      </w:r>
      <w:r w:rsidRPr="00590D46">
        <w:rPr>
          <w:color w:val="auto"/>
        </w:rPr>
        <w:t xml:space="preserve">. </w:t>
      </w:r>
    </w:p>
    <w:p w:rsidR="00036B9D" w:rsidRDefault="00036B9D"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9. CARATTERISTICHE GENERALI DEL SERVIZIO </w:t>
      </w:r>
    </w:p>
    <w:p w:rsidR="002E47B7" w:rsidRPr="00590D46" w:rsidRDefault="002E47B7" w:rsidP="00590D46">
      <w:pPr>
        <w:pStyle w:val="Default"/>
        <w:spacing w:line="360" w:lineRule="auto"/>
        <w:jc w:val="both"/>
        <w:rPr>
          <w:color w:val="auto"/>
        </w:rPr>
      </w:pPr>
      <w:r w:rsidRPr="00590D46">
        <w:rPr>
          <w:color w:val="auto"/>
        </w:rPr>
        <w:t>Le caratteristiche del servizio sono dettagliate nell’allegato capitolato speciale</w:t>
      </w:r>
      <w:r w:rsidR="00590D46">
        <w:rPr>
          <w:color w:val="auto"/>
        </w:rPr>
        <w:t>.</w:t>
      </w:r>
      <w:r w:rsidRPr="00590D46">
        <w:rPr>
          <w:color w:val="auto"/>
        </w:rPr>
        <w:t xml:space="preserve">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10. FINANZIAMENTI E PAGAMENTI </w:t>
      </w:r>
    </w:p>
    <w:p w:rsidR="002E47B7" w:rsidRPr="00590D46" w:rsidRDefault="00C017E7" w:rsidP="00590D46">
      <w:pPr>
        <w:pStyle w:val="Default"/>
        <w:spacing w:line="360" w:lineRule="auto"/>
        <w:jc w:val="both"/>
        <w:rPr>
          <w:color w:val="auto"/>
        </w:rPr>
      </w:pPr>
      <w:r>
        <w:rPr>
          <w:color w:val="auto"/>
        </w:rPr>
        <w:t xml:space="preserve">Il servizio è finanziato con </w:t>
      </w:r>
      <w:r w:rsidR="00AB0E20" w:rsidRPr="00590D46">
        <w:rPr>
          <w:color w:val="auto"/>
        </w:rPr>
        <w:t>Fondi del bilancio comunale</w:t>
      </w:r>
      <w:r w:rsidR="002E47B7" w:rsidRPr="00590D46">
        <w:rPr>
          <w:color w:val="auto"/>
        </w:rPr>
        <w:t xml:space="preserve">.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11. SOGGETTI AMMESSI ALLA GARA E REQUISITI</w:t>
      </w:r>
      <w:r w:rsidRPr="00590D46">
        <w:rPr>
          <w:color w:val="auto"/>
        </w:rPr>
        <w:t xml:space="preserve">: </w:t>
      </w:r>
    </w:p>
    <w:p w:rsidR="0037033F" w:rsidRPr="00721D67" w:rsidRDefault="0037033F" w:rsidP="0037033F">
      <w:pPr>
        <w:pStyle w:val="Default"/>
        <w:spacing w:line="360" w:lineRule="auto"/>
        <w:jc w:val="both"/>
        <w:rPr>
          <w:rFonts w:eastAsia="Calibri"/>
          <w:color w:val="auto"/>
        </w:rPr>
      </w:pPr>
      <w:r w:rsidRPr="00721D67">
        <w:rPr>
          <w:rFonts w:eastAsia="Calibri"/>
          <w:color w:val="auto"/>
        </w:rPr>
        <w:lastRenderedPageBreak/>
        <w:t>Possono presentare domanda di partecipazione alla presente procedura di appalto i soggetti di cui all’art. 4</w:t>
      </w:r>
      <w:r>
        <w:rPr>
          <w:rFonts w:eastAsia="Calibri"/>
          <w:color w:val="auto"/>
        </w:rPr>
        <w:t xml:space="preserve">5,comma 2, del </w:t>
      </w:r>
      <w:proofErr w:type="spellStart"/>
      <w:r>
        <w:rPr>
          <w:rFonts w:eastAsia="Calibri"/>
          <w:color w:val="auto"/>
        </w:rPr>
        <w:t>D.lgs</w:t>
      </w:r>
      <w:proofErr w:type="spellEnd"/>
      <w:r>
        <w:rPr>
          <w:rFonts w:eastAsia="Calibri"/>
          <w:color w:val="auto"/>
        </w:rPr>
        <w:t xml:space="preserve"> 50</w:t>
      </w:r>
      <w:r w:rsidRPr="00721D67">
        <w:rPr>
          <w:rFonts w:eastAsia="Calibri"/>
          <w:color w:val="auto"/>
        </w:rPr>
        <w:t>/20</w:t>
      </w:r>
      <w:r>
        <w:rPr>
          <w:rFonts w:eastAsia="Calibri"/>
          <w:color w:val="auto"/>
        </w:rPr>
        <w:t>1</w:t>
      </w:r>
      <w:r w:rsidRPr="00721D67">
        <w:rPr>
          <w:rFonts w:eastAsia="Calibri"/>
          <w:color w:val="auto"/>
        </w:rPr>
        <w:t>6 (concorrenti singoli o raggruppati temporaneamente-consorziati secondo le disposizioni d</w:t>
      </w:r>
      <w:r>
        <w:rPr>
          <w:rFonts w:eastAsia="Calibri"/>
          <w:color w:val="auto"/>
        </w:rPr>
        <w:t>i legge</w:t>
      </w:r>
      <w:r w:rsidRPr="00721D67">
        <w:rPr>
          <w:rFonts w:eastAsia="Calibri"/>
          <w:color w:val="auto"/>
        </w:rPr>
        <w:t xml:space="preserve">), </w:t>
      </w:r>
      <w:r w:rsidR="001A119B" w:rsidRPr="002477F6">
        <w:rPr>
          <w:rFonts w:eastAsia="Calibri"/>
          <w:color w:val="auto"/>
        </w:rPr>
        <w:t>invitati e</w:t>
      </w:r>
      <w:r w:rsidR="001A119B">
        <w:rPr>
          <w:rFonts w:eastAsia="Calibri"/>
          <w:color w:val="auto"/>
        </w:rPr>
        <w:t xml:space="preserve"> </w:t>
      </w:r>
      <w:r w:rsidRPr="00721D67">
        <w:rPr>
          <w:rFonts w:eastAsia="Calibri"/>
          <w:color w:val="auto"/>
        </w:rPr>
        <w:t xml:space="preserve">in possesso dei seguenti requisiti: </w:t>
      </w:r>
    </w:p>
    <w:p w:rsidR="0037033F" w:rsidRDefault="0037033F" w:rsidP="0037033F">
      <w:pPr>
        <w:pStyle w:val="Default"/>
        <w:spacing w:line="360" w:lineRule="auto"/>
        <w:jc w:val="both"/>
        <w:rPr>
          <w:rFonts w:eastAsia="Calibri"/>
          <w:b/>
          <w:bCs/>
          <w:color w:val="auto"/>
        </w:rPr>
      </w:pPr>
    </w:p>
    <w:p w:rsidR="0037033F" w:rsidRPr="00721D67" w:rsidRDefault="00207523" w:rsidP="0037033F">
      <w:pPr>
        <w:pStyle w:val="Default"/>
        <w:spacing w:line="360" w:lineRule="auto"/>
        <w:jc w:val="both"/>
        <w:rPr>
          <w:rFonts w:eastAsia="Calibri"/>
          <w:color w:val="auto"/>
        </w:rPr>
      </w:pPr>
      <w:r>
        <w:rPr>
          <w:rFonts w:eastAsia="Calibri"/>
          <w:b/>
          <w:bCs/>
          <w:color w:val="auto"/>
        </w:rPr>
        <w:t>-</w:t>
      </w:r>
      <w:r w:rsidR="0037033F" w:rsidRPr="00721D67">
        <w:rPr>
          <w:rFonts w:eastAsia="Calibri"/>
          <w:b/>
          <w:bCs/>
          <w:color w:val="auto"/>
        </w:rPr>
        <w:t xml:space="preserve"> </w:t>
      </w:r>
      <w:r w:rsidR="0037033F" w:rsidRPr="00721D67">
        <w:rPr>
          <w:rFonts w:eastAsia="Calibri"/>
          <w:color w:val="auto"/>
        </w:rPr>
        <w:t>requisiti di ordine generale (art. 8</w:t>
      </w:r>
      <w:r w:rsidR="0037033F">
        <w:rPr>
          <w:rFonts w:eastAsia="Calibri"/>
          <w:color w:val="auto"/>
        </w:rPr>
        <w:t>0</w:t>
      </w:r>
      <w:r w:rsidR="0037033F" w:rsidRPr="00721D67">
        <w:rPr>
          <w:rFonts w:eastAsia="Calibri"/>
          <w:color w:val="auto"/>
        </w:rPr>
        <w:t xml:space="preserve"> del </w:t>
      </w:r>
      <w:proofErr w:type="spellStart"/>
      <w:r w:rsidR="0037033F" w:rsidRPr="00721D67">
        <w:rPr>
          <w:rFonts w:eastAsia="Calibri"/>
          <w:color w:val="auto"/>
        </w:rPr>
        <w:t>D.lgs</w:t>
      </w:r>
      <w:proofErr w:type="spellEnd"/>
      <w:r w:rsidR="0037033F" w:rsidRPr="00721D67">
        <w:rPr>
          <w:rFonts w:eastAsia="Calibri"/>
          <w:color w:val="auto"/>
        </w:rPr>
        <w:t xml:space="preserve"> </w:t>
      </w:r>
      <w:r w:rsidR="0037033F">
        <w:rPr>
          <w:rFonts w:eastAsia="Calibri"/>
          <w:color w:val="auto"/>
        </w:rPr>
        <w:t>50</w:t>
      </w:r>
      <w:r w:rsidR="0037033F" w:rsidRPr="00721D67">
        <w:rPr>
          <w:rFonts w:eastAsia="Calibri"/>
          <w:color w:val="auto"/>
        </w:rPr>
        <w:t>/20</w:t>
      </w:r>
      <w:r w:rsidR="0037033F">
        <w:rPr>
          <w:rFonts w:eastAsia="Calibri"/>
          <w:color w:val="auto"/>
        </w:rPr>
        <w:t>1</w:t>
      </w:r>
      <w:r w:rsidR="0037033F" w:rsidRPr="00721D67">
        <w:rPr>
          <w:rFonts w:eastAsia="Calibri"/>
          <w:color w:val="auto"/>
        </w:rPr>
        <w:t xml:space="preserve">6): </w:t>
      </w:r>
    </w:p>
    <w:p w:rsidR="0037033F" w:rsidRDefault="0037033F" w:rsidP="0037033F">
      <w:pPr>
        <w:pStyle w:val="Default"/>
        <w:spacing w:line="360" w:lineRule="auto"/>
        <w:jc w:val="both"/>
        <w:rPr>
          <w:rFonts w:eastAsia="Calibri"/>
          <w:color w:val="auto"/>
        </w:rPr>
      </w:pPr>
      <w:r w:rsidRPr="00721D67">
        <w:rPr>
          <w:rFonts w:eastAsia="Calibri"/>
          <w:color w:val="auto"/>
        </w:rPr>
        <w:t>assenza delle cause di esclusione dalla partecipazione alle gare di appalto, previste 8</w:t>
      </w:r>
      <w:r>
        <w:rPr>
          <w:rFonts w:eastAsia="Calibri"/>
          <w:color w:val="auto"/>
        </w:rPr>
        <w:t>0</w:t>
      </w:r>
      <w:r w:rsidRPr="00721D67">
        <w:rPr>
          <w:rFonts w:eastAsia="Calibri"/>
          <w:color w:val="auto"/>
        </w:rPr>
        <w:t xml:space="preserve"> del </w:t>
      </w:r>
      <w:proofErr w:type="spellStart"/>
      <w:r w:rsidRPr="00721D67">
        <w:rPr>
          <w:rFonts w:eastAsia="Calibri"/>
          <w:color w:val="auto"/>
        </w:rPr>
        <w:t>D.lgs</w:t>
      </w:r>
      <w:proofErr w:type="spellEnd"/>
      <w:r w:rsidRPr="00721D67">
        <w:rPr>
          <w:rFonts w:eastAsia="Calibri"/>
          <w:color w:val="auto"/>
        </w:rPr>
        <w:t xml:space="preserve"> </w:t>
      </w:r>
      <w:r>
        <w:rPr>
          <w:rFonts w:eastAsia="Calibri"/>
          <w:color w:val="auto"/>
        </w:rPr>
        <w:t>50</w:t>
      </w:r>
      <w:r w:rsidRPr="00721D67">
        <w:rPr>
          <w:rFonts w:eastAsia="Calibri"/>
          <w:color w:val="auto"/>
        </w:rPr>
        <w:t>/20</w:t>
      </w:r>
      <w:r>
        <w:rPr>
          <w:rFonts w:eastAsia="Calibri"/>
          <w:color w:val="auto"/>
        </w:rPr>
        <w:t>1</w:t>
      </w:r>
      <w:r w:rsidRPr="00721D67">
        <w:rPr>
          <w:rFonts w:eastAsia="Calibri"/>
          <w:color w:val="auto"/>
        </w:rPr>
        <w:t xml:space="preserve">6. </w:t>
      </w:r>
    </w:p>
    <w:p w:rsidR="0037033F" w:rsidRPr="00721D67" w:rsidRDefault="0037033F" w:rsidP="0037033F">
      <w:pPr>
        <w:pStyle w:val="Default"/>
        <w:spacing w:line="360" w:lineRule="auto"/>
        <w:jc w:val="both"/>
        <w:rPr>
          <w:rFonts w:eastAsia="Calibri"/>
          <w:color w:val="auto"/>
        </w:rPr>
      </w:pPr>
    </w:p>
    <w:p w:rsidR="0037033F" w:rsidRPr="00721D67" w:rsidRDefault="00207523" w:rsidP="0037033F">
      <w:pPr>
        <w:pStyle w:val="Default"/>
        <w:spacing w:line="360" w:lineRule="auto"/>
        <w:jc w:val="both"/>
        <w:rPr>
          <w:rFonts w:eastAsia="Calibri"/>
          <w:color w:val="auto"/>
        </w:rPr>
      </w:pPr>
      <w:r>
        <w:rPr>
          <w:rFonts w:eastAsia="Calibri"/>
          <w:b/>
          <w:bCs/>
          <w:color w:val="auto"/>
        </w:rPr>
        <w:t>-</w:t>
      </w:r>
      <w:r w:rsidR="0037033F" w:rsidRPr="00721D67">
        <w:rPr>
          <w:rFonts w:eastAsia="Calibri"/>
          <w:b/>
          <w:bCs/>
          <w:color w:val="auto"/>
        </w:rPr>
        <w:t xml:space="preserve"> </w:t>
      </w:r>
      <w:r w:rsidR="0037033F" w:rsidRPr="00721D67">
        <w:rPr>
          <w:rFonts w:eastAsia="Calibri"/>
          <w:color w:val="auto"/>
        </w:rPr>
        <w:t>requisiti di idoneità professionale (art. 8</w:t>
      </w:r>
      <w:r w:rsidR="0037033F">
        <w:rPr>
          <w:rFonts w:eastAsia="Calibri"/>
          <w:color w:val="auto"/>
        </w:rPr>
        <w:t>3</w:t>
      </w:r>
      <w:r>
        <w:rPr>
          <w:rFonts w:eastAsia="Calibri"/>
          <w:color w:val="auto"/>
        </w:rPr>
        <w:t>, comma 3,</w:t>
      </w:r>
      <w:r w:rsidR="0037033F" w:rsidRPr="00721D67">
        <w:rPr>
          <w:rFonts w:eastAsia="Calibri"/>
          <w:color w:val="auto"/>
        </w:rPr>
        <w:t xml:space="preserve"> del </w:t>
      </w:r>
      <w:proofErr w:type="spellStart"/>
      <w:r w:rsidR="0037033F" w:rsidRPr="00721D67">
        <w:rPr>
          <w:rFonts w:eastAsia="Calibri"/>
          <w:color w:val="auto"/>
        </w:rPr>
        <w:t>D.lgs</w:t>
      </w:r>
      <w:proofErr w:type="spellEnd"/>
      <w:r w:rsidR="0037033F" w:rsidRPr="00721D67">
        <w:rPr>
          <w:rFonts w:eastAsia="Calibri"/>
          <w:color w:val="auto"/>
        </w:rPr>
        <w:t xml:space="preserve"> </w:t>
      </w:r>
      <w:r w:rsidR="0037033F">
        <w:rPr>
          <w:rFonts w:eastAsia="Calibri"/>
          <w:color w:val="auto"/>
        </w:rPr>
        <w:t>50</w:t>
      </w:r>
      <w:r w:rsidR="0037033F" w:rsidRPr="00721D67">
        <w:rPr>
          <w:rFonts w:eastAsia="Calibri"/>
          <w:color w:val="auto"/>
        </w:rPr>
        <w:t>/20</w:t>
      </w:r>
      <w:r w:rsidR="0037033F">
        <w:rPr>
          <w:rFonts w:eastAsia="Calibri"/>
          <w:color w:val="auto"/>
        </w:rPr>
        <w:t>1</w:t>
      </w:r>
      <w:r w:rsidR="0037033F" w:rsidRPr="00721D67">
        <w:rPr>
          <w:rFonts w:eastAsia="Calibri"/>
          <w:color w:val="auto"/>
        </w:rPr>
        <w:t xml:space="preserve">6): </w:t>
      </w:r>
    </w:p>
    <w:p w:rsidR="0037033F" w:rsidRPr="00721D67" w:rsidRDefault="0037033F" w:rsidP="0037033F">
      <w:pPr>
        <w:pStyle w:val="Default"/>
        <w:spacing w:line="360" w:lineRule="auto"/>
        <w:jc w:val="both"/>
        <w:rPr>
          <w:rFonts w:eastAsia="Calibri"/>
          <w:color w:val="auto"/>
        </w:rPr>
      </w:pPr>
      <w:r w:rsidRPr="00721D67">
        <w:rPr>
          <w:rFonts w:eastAsia="Calibri"/>
          <w:color w:val="auto"/>
        </w:rPr>
        <w:t xml:space="preserve">Per la partecipazione alla gara per l’affidamento del servizio oggetto dell’appalto è richiesta l’iscrizione nel registro delle imprese istituito presso la competente C.C.I.A.A. o ad analogo registro dello Stato aderente all’U.E., </w:t>
      </w:r>
      <w:r>
        <w:rPr>
          <w:rFonts w:eastAsia="Calibri"/>
          <w:color w:val="auto"/>
        </w:rPr>
        <w:t>in base alla categoria ATECO n. 91</w:t>
      </w:r>
      <w:r w:rsidRPr="00721D67">
        <w:rPr>
          <w:rFonts w:eastAsia="Calibri"/>
          <w:color w:val="auto"/>
        </w:rPr>
        <w:t xml:space="preserve">; </w:t>
      </w:r>
    </w:p>
    <w:p w:rsidR="0037033F" w:rsidRDefault="0037033F" w:rsidP="0037033F">
      <w:pPr>
        <w:pStyle w:val="Default"/>
        <w:spacing w:line="360" w:lineRule="auto"/>
        <w:jc w:val="both"/>
        <w:rPr>
          <w:rFonts w:eastAsia="Calibri"/>
          <w:b/>
          <w:bCs/>
          <w:color w:val="auto"/>
        </w:rPr>
      </w:pPr>
    </w:p>
    <w:p w:rsidR="0037033F" w:rsidRPr="001B36F9" w:rsidRDefault="00207523" w:rsidP="0037033F">
      <w:pPr>
        <w:pStyle w:val="Default"/>
        <w:spacing w:line="360" w:lineRule="auto"/>
        <w:jc w:val="both"/>
        <w:rPr>
          <w:rFonts w:eastAsia="Calibri"/>
          <w:color w:val="auto"/>
        </w:rPr>
      </w:pPr>
      <w:r>
        <w:rPr>
          <w:rFonts w:eastAsia="Calibri"/>
          <w:b/>
          <w:bCs/>
          <w:color w:val="auto"/>
        </w:rPr>
        <w:t>-</w:t>
      </w:r>
      <w:r w:rsidR="0037033F" w:rsidRPr="001B36F9">
        <w:rPr>
          <w:rFonts w:eastAsia="Calibri"/>
          <w:b/>
          <w:bCs/>
          <w:color w:val="auto"/>
        </w:rPr>
        <w:t xml:space="preserve"> </w:t>
      </w:r>
      <w:r w:rsidR="0037033F" w:rsidRPr="001B36F9">
        <w:rPr>
          <w:rFonts w:eastAsia="Calibri"/>
          <w:color w:val="auto"/>
        </w:rPr>
        <w:t xml:space="preserve">capacità economico-finanziaria (art. 83, comma 4, del </w:t>
      </w:r>
      <w:proofErr w:type="spellStart"/>
      <w:r w:rsidR="0037033F" w:rsidRPr="001B36F9">
        <w:rPr>
          <w:rFonts w:eastAsia="Calibri"/>
          <w:color w:val="auto"/>
        </w:rPr>
        <w:t>D.lgs</w:t>
      </w:r>
      <w:proofErr w:type="spellEnd"/>
      <w:r w:rsidR="0037033F" w:rsidRPr="001B36F9">
        <w:rPr>
          <w:rFonts w:eastAsia="Calibri"/>
          <w:color w:val="auto"/>
        </w:rPr>
        <w:t xml:space="preserve"> 50/2016): </w:t>
      </w:r>
    </w:p>
    <w:p w:rsidR="0037033F" w:rsidRPr="00721D67" w:rsidRDefault="0037033F" w:rsidP="0037033F">
      <w:pPr>
        <w:pStyle w:val="Default"/>
        <w:spacing w:line="360" w:lineRule="auto"/>
        <w:jc w:val="both"/>
        <w:rPr>
          <w:rFonts w:eastAsia="Calibri"/>
          <w:color w:val="auto"/>
        </w:rPr>
      </w:pPr>
      <w:r w:rsidRPr="001B36F9">
        <w:rPr>
          <w:rFonts w:eastAsia="Calibri"/>
          <w:color w:val="auto"/>
        </w:rPr>
        <w:t xml:space="preserve">Essere in possesso e produrre almeno una referenza che comprovi la capacità economico finanziaria del concorrente rilasciata da istituti bancari o intermediari autorizzati, ai sensi del D. </w:t>
      </w:r>
      <w:proofErr w:type="spellStart"/>
      <w:r w:rsidRPr="001B36F9">
        <w:rPr>
          <w:rFonts w:eastAsia="Calibri"/>
          <w:color w:val="auto"/>
        </w:rPr>
        <w:t>Lgs</w:t>
      </w:r>
      <w:proofErr w:type="spellEnd"/>
      <w:r w:rsidRPr="001B36F9">
        <w:rPr>
          <w:rFonts w:eastAsia="Calibri"/>
          <w:color w:val="auto"/>
        </w:rPr>
        <w:t>. 385/1993.</w:t>
      </w:r>
      <w:r w:rsidRPr="00721D67">
        <w:rPr>
          <w:rFonts w:eastAsia="Calibri"/>
          <w:color w:val="auto"/>
        </w:rPr>
        <w:t xml:space="preserve"> </w:t>
      </w:r>
    </w:p>
    <w:p w:rsidR="0037033F" w:rsidRDefault="0037033F" w:rsidP="0037033F">
      <w:pPr>
        <w:pStyle w:val="Default"/>
        <w:spacing w:line="360" w:lineRule="auto"/>
        <w:jc w:val="both"/>
        <w:rPr>
          <w:rFonts w:eastAsia="Calibri"/>
          <w:b/>
          <w:bCs/>
          <w:color w:val="auto"/>
        </w:rPr>
      </w:pPr>
    </w:p>
    <w:p w:rsidR="0037033F" w:rsidRPr="00721D67" w:rsidRDefault="00207523" w:rsidP="0037033F">
      <w:pPr>
        <w:pStyle w:val="Default"/>
        <w:spacing w:line="360" w:lineRule="auto"/>
        <w:jc w:val="both"/>
        <w:rPr>
          <w:rFonts w:eastAsia="Calibri"/>
          <w:color w:val="auto"/>
        </w:rPr>
      </w:pPr>
      <w:r>
        <w:rPr>
          <w:rFonts w:eastAsia="Calibri"/>
          <w:b/>
          <w:bCs/>
          <w:color w:val="auto"/>
        </w:rPr>
        <w:t>-</w:t>
      </w:r>
      <w:r w:rsidR="0037033F" w:rsidRPr="00721D67">
        <w:rPr>
          <w:rFonts w:eastAsia="Calibri"/>
          <w:b/>
          <w:bCs/>
          <w:color w:val="auto"/>
        </w:rPr>
        <w:t xml:space="preserve"> </w:t>
      </w:r>
      <w:r w:rsidR="0037033F" w:rsidRPr="00721D67">
        <w:rPr>
          <w:rFonts w:eastAsia="Calibri"/>
          <w:color w:val="auto"/>
        </w:rPr>
        <w:t>requisiti di capacità tecnica e professionale (art. 8</w:t>
      </w:r>
      <w:r w:rsidR="0037033F">
        <w:rPr>
          <w:rFonts w:eastAsia="Calibri"/>
          <w:color w:val="auto"/>
        </w:rPr>
        <w:t>3,comma 6,</w:t>
      </w:r>
      <w:r w:rsidR="0037033F" w:rsidRPr="00721D67">
        <w:rPr>
          <w:rFonts w:eastAsia="Calibri"/>
          <w:color w:val="auto"/>
        </w:rPr>
        <w:t xml:space="preserve"> del </w:t>
      </w:r>
      <w:proofErr w:type="spellStart"/>
      <w:r w:rsidR="0037033F" w:rsidRPr="00721D67">
        <w:rPr>
          <w:rFonts w:eastAsia="Calibri"/>
          <w:color w:val="auto"/>
        </w:rPr>
        <w:t>D.lgs</w:t>
      </w:r>
      <w:proofErr w:type="spellEnd"/>
      <w:r w:rsidR="0037033F" w:rsidRPr="00721D67">
        <w:rPr>
          <w:rFonts w:eastAsia="Calibri"/>
          <w:color w:val="auto"/>
        </w:rPr>
        <w:t xml:space="preserve"> </w:t>
      </w:r>
      <w:r w:rsidR="0037033F">
        <w:rPr>
          <w:rFonts w:eastAsia="Calibri"/>
          <w:color w:val="auto"/>
        </w:rPr>
        <w:t>50</w:t>
      </w:r>
      <w:r w:rsidR="0037033F" w:rsidRPr="00721D67">
        <w:rPr>
          <w:rFonts w:eastAsia="Calibri"/>
          <w:color w:val="auto"/>
        </w:rPr>
        <w:t>/20</w:t>
      </w:r>
      <w:r w:rsidR="0037033F">
        <w:rPr>
          <w:rFonts w:eastAsia="Calibri"/>
          <w:color w:val="auto"/>
        </w:rPr>
        <w:t>1</w:t>
      </w:r>
      <w:r w:rsidR="0037033F" w:rsidRPr="00721D67">
        <w:rPr>
          <w:rFonts w:eastAsia="Calibri"/>
          <w:color w:val="auto"/>
        </w:rPr>
        <w:t xml:space="preserve">6): </w:t>
      </w:r>
    </w:p>
    <w:p w:rsidR="0037033F" w:rsidRPr="00721D67" w:rsidRDefault="0037033F" w:rsidP="0037033F">
      <w:pPr>
        <w:pStyle w:val="Default"/>
        <w:spacing w:line="360" w:lineRule="auto"/>
        <w:jc w:val="both"/>
        <w:rPr>
          <w:rFonts w:eastAsia="Calibri"/>
          <w:color w:val="auto"/>
        </w:rPr>
      </w:pPr>
      <w:r w:rsidRPr="00721D67">
        <w:rPr>
          <w:rFonts w:eastAsia="Calibri"/>
          <w:color w:val="auto"/>
        </w:rPr>
        <w:t xml:space="preserve">L’ impresa deve </w:t>
      </w:r>
      <w:r>
        <w:rPr>
          <w:rFonts w:eastAsia="Calibri"/>
          <w:color w:val="auto"/>
        </w:rPr>
        <w:t>essere iscritta nell’elenco degli Archivisti qualificati, tenuto presso la Soprintendenza Archivistica per il Piemonte e la Valle d’Aosta, o in analogo elenco istituito presso le altre Soprintendenze del territorio nazionale. Sono altresì ammessi le imprese iscritte in elenchi specializzati analoghi pressi gli stati membri dell’Unione Europea.</w:t>
      </w:r>
    </w:p>
    <w:p w:rsidR="008E7FF1" w:rsidRDefault="008E7FF1"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1</w:t>
      </w:r>
      <w:r w:rsidR="009B2211">
        <w:rPr>
          <w:b/>
          <w:bCs/>
          <w:color w:val="auto"/>
        </w:rPr>
        <w:t>2</w:t>
      </w:r>
      <w:r w:rsidRPr="00590D46">
        <w:rPr>
          <w:b/>
          <w:bCs/>
          <w:color w:val="auto"/>
        </w:rPr>
        <w:t xml:space="preserve">. DIVIETO </w:t>
      </w:r>
      <w:proofErr w:type="spellStart"/>
      <w:r w:rsidRPr="00590D46">
        <w:rPr>
          <w:b/>
          <w:bCs/>
          <w:color w:val="auto"/>
        </w:rPr>
        <w:t>DI</w:t>
      </w:r>
      <w:proofErr w:type="spellEnd"/>
      <w:r w:rsidRPr="00590D46">
        <w:rPr>
          <w:b/>
          <w:bCs/>
          <w:color w:val="auto"/>
        </w:rPr>
        <w:t xml:space="preserve"> CESSIONE DEL CONTRATTO </w:t>
      </w:r>
    </w:p>
    <w:p w:rsidR="002E47B7" w:rsidRPr="00590D46" w:rsidRDefault="002E47B7" w:rsidP="00590D46">
      <w:pPr>
        <w:pStyle w:val="Default"/>
        <w:spacing w:line="360" w:lineRule="auto"/>
        <w:jc w:val="both"/>
        <w:rPr>
          <w:color w:val="auto"/>
        </w:rPr>
      </w:pPr>
      <w:r w:rsidRPr="00590D46">
        <w:rPr>
          <w:color w:val="auto"/>
        </w:rPr>
        <w:t xml:space="preserve">E’ vietata la cessione totale o parziale del servizio.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1</w:t>
      </w:r>
      <w:r w:rsidR="009B2211">
        <w:rPr>
          <w:b/>
          <w:bCs/>
          <w:color w:val="auto"/>
        </w:rPr>
        <w:t>3</w:t>
      </w:r>
      <w:r w:rsidRPr="00590D46">
        <w:rPr>
          <w:b/>
          <w:bCs/>
          <w:color w:val="auto"/>
        </w:rPr>
        <w:t>. RICHIESTA DOCUMENTAZIONE E CHIARIMENTI</w:t>
      </w:r>
      <w:r w:rsidRPr="00590D46">
        <w:rPr>
          <w:color w:val="auto"/>
        </w:rPr>
        <w:t xml:space="preserve">: </w:t>
      </w:r>
    </w:p>
    <w:p w:rsidR="002E47B7" w:rsidRPr="00590D46" w:rsidRDefault="002E47B7" w:rsidP="00590D46">
      <w:pPr>
        <w:pStyle w:val="Default"/>
        <w:spacing w:line="360" w:lineRule="auto"/>
        <w:jc w:val="both"/>
        <w:rPr>
          <w:color w:val="auto"/>
        </w:rPr>
      </w:pPr>
      <w:r w:rsidRPr="00590D46">
        <w:rPr>
          <w:color w:val="auto"/>
        </w:rPr>
        <w:t>Il presente disciplinare di gara, il capitolato speciale di appalto e i relativi allegati sono disponibili e visionabili sul sito Internet dell’ente www.comune.</w:t>
      </w:r>
      <w:r w:rsidR="00AB0E20" w:rsidRPr="00590D46">
        <w:rPr>
          <w:color w:val="auto"/>
        </w:rPr>
        <w:t>vercelli.it.</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1</w:t>
      </w:r>
      <w:r w:rsidR="009B2211">
        <w:rPr>
          <w:b/>
          <w:bCs/>
          <w:color w:val="auto"/>
        </w:rPr>
        <w:t>4</w:t>
      </w:r>
      <w:r w:rsidRPr="00590D46">
        <w:rPr>
          <w:b/>
          <w:bCs/>
          <w:color w:val="auto"/>
        </w:rPr>
        <w:t xml:space="preserve">. PRESENTAZIONE DELLE OFFERTE </w:t>
      </w:r>
    </w:p>
    <w:p w:rsidR="00916BC1" w:rsidRPr="00590D46" w:rsidRDefault="00916BC1"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TERMINE RICEVIMENTO OFFERTE E DOCUMENTAZIONE RICHIESTA: </w:t>
      </w:r>
    </w:p>
    <w:p w:rsidR="002E47B7" w:rsidRPr="00590D46" w:rsidRDefault="002E47B7" w:rsidP="00590D46">
      <w:pPr>
        <w:pStyle w:val="Default"/>
        <w:spacing w:line="360" w:lineRule="auto"/>
        <w:jc w:val="both"/>
        <w:rPr>
          <w:color w:val="auto"/>
        </w:rPr>
      </w:pPr>
      <w:r w:rsidRPr="00590D46">
        <w:rPr>
          <w:color w:val="auto"/>
        </w:rPr>
        <w:lastRenderedPageBreak/>
        <w:t xml:space="preserve">Per partecipare alla gara le imprese interessate devono far pervenire a questo Comune un </w:t>
      </w:r>
      <w:r w:rsidRPr="00590D46">
        <w:rPr>
          <w:b/>
          <w:bCs/>
          <w:color w:val="auto"/>
        </w:rPr>
        <w:t xml:space="preserve">PLICO, </w:t>
      </w:r>
      <w:r w:rsidRPr="00590D46">
        <w:rPr>
          <w:color w:val="auto"/>
        </w:rPr>
        <w:t xml:space="preserve">debitamente sigillato e controfirmato su tutti i lembi di chiusura anche quelli </w:t>
      </w:r>
      <w:proofErr w:type="spellStart"/>
      <w:r w:rsidRPr="00590D46">
        <w:rPr>
          <w:color w:val="auto"/>
        </w:rPr>
        <w:t>preincollati</w:t>
      </w:r>
      <w:proofErr w:type="spellEnd"/>
      <w:r w:rsidRPr="00590D46">
        <w:rPr>
          <w:color w:val="auto"/>
        </w:rPr>
        <w:t xml:space="preserve">, recante sul frontespizio sia l’indicazione del mittente e precisamente: </w:t>
      </w:r>
      <w:r w:rsidRPr="00590D46">
        <w:rPr>
          <w:b/>
          <w:bCs/>
          <w:color w:val="auto"/>
        </w:rPr>
        <w:t xml:space="preserve">denominazione, ragione sociale, sede legale della ditta </w:t>
      </w:r>
      <w:r w:rsidRPr="00590D46">
        <w:rPr>
          <w:color w:val="auto"/>
        </w:rPr>
        <w:t xml:space="preserve">cui far recapitare ogni e qualsiasi comunicazione afferente la gara, sia la seguente dicitura: </w:t>
      </w:r>
      <w:r w:rsidRPr="002477F6">
        <w:rPr>
          <w:b/>
          <w:bCs/>
          <w:color w:val="auto"/>
        </w:rPr>
        <w:t>“Offerta relativa alla gara d’appalto per l’affidamento del S</w:t>
      </w:r>
      <w:r w:rsidR="00E00826" w:rsidRPr="002477F6">
        <w:rPr>
          <w:b/>
          <w:bCs/>
          <w:color w:val="auto"/>
        </w:rPr>
        <w:t>ervizio di</w:t>
      </w:r>
      <w:r w:rsidR="00916BC1" w:rsidRPr="002477F6">
        <w:rPr>
          <w:b/>
          <w:bCs/>
          <w:color w:val="auto"/>
        </w:rPr>
        <w:t xml:space="preserve"> </w:t>
      </w:r>
      <w:r w:rsidR="00EF65AD" w:rsidRPr="002477F6">
        <w:rPr>
          <w:b/>
        </w:rPr>
        <w:t>censimento, pulizia e spostamento e messa in sicurezza del patrimonio archivistico</w:t>
      </w:r>
      <w:r w:rsidR="00916BC1" w:rsidRPr="002477F6">
        <w:rPr>
          <w:b/>
          <w:bCs/>
          <w:color w:val="auto"/>
        </w:rPr>
        <w:t xml:space="preserve"> </w:t>
      </w:r>
      <w:r w:rsidR="00EF65AD" w:rsidRPr="002477F6">
        <w:rPr>
          <w:b/>
          <w:bCs/>
          <w:color w:val="auto"/>
        </w:rPr>
        <w:t>comunale</w:t>
      </w:r>
      <w:r w:rsidRPr="002477F6">
        <w:rPr>
          <w:b/>
          <w:bCs/>
          <w:color w:val="auto"/>
        </w:rPr>
        <w:t>”.</w:t>
      </w:r>
      <w:r w:rsidRPr="00590D46">
        <w:rPr>
          <w:b/>
          <w:bCs/>
          <w:color w:val="auto"/>
        </w:rPr>
        <w:t xml:space="preserve"> </w:t>
      </w:r>
    </w:p>
    <w:p w:rsidR="005D15C0" w:rsidRDefault="002E47B7" w:rsidP="00590D46">
      <w:pPr>
        <w:pStyle w:val="Default"/>
        <w:spacing w:line="360" w:lineRule="auto"/>
        <w:jc w:val="both"/>
        <w:rPr>
          <w:color w:val="auto"/>
        </w:rPr>
      </w:pPr>
      <w:r w:rsidRPr="00590D46">
        <w:rPr>
          <w:color w:val="auto"/>
        </w:rPr>
        <w:t>Detto Plico, contenente la domanda di partecipazione (di cui all’ALLEGATO A</w:t>
      </w:r>
      <w:r w:rsidRPr="00590D46">
        <w:rPr>
          <w:b/>
          <w:bCs/>
          <w:color w:val="auto"/>
        </w:rPr>
        <w:t>)</w:t>
      </w:r>
      <w:r w:rsidR="00684FC1">
        <w:rPr>
          <w:b/>
          <w:bCs/>
          <w:color w:val="auto"/>
        </w:rPr>
        <w:t xml:space="preserve">, </w:t>
      </w:r>
      <w:r w:rsidR="00F64483">
        <w:rPr>
          <w:bCs/>
          <w:color w:val="auto"/>
        </w:rPr>
        <w:t>l’offerta</w:t>
      </w:r>
      <w:r w:rsidR="00684FC1" w:rsidRPr="00684FC1">
        <w:rPr>
          <w:bCs/>
          <w:color w:val="auto"/>
        </w:rPr>
        <w:t xml:space="preserve"> tecnica</w:t>
      </w:r>
      <w:r w:rsidRPr="00590D46">
        <w:rPr>
          <w:b/>
          <w:bCs/>
          <w:color w:val="auto"/>
        </w:rPr>
        <w:t xml:space="preserve"> </w:t>
      </w:r>
      <w:r w:rsidRPr="00590D46">
        <w:rPr>
          <w:color w:val="auto"/>
        </w:rPr>
        <w:t>e l’offerta economica (di cui all’ALLEGATO B)</w:t>
      </w:r>
      <w:r w:rsidR="00684FC1">
        <w:rPr>
          <w:color w:val="auto"/>
        </w:rPr>
        <w:t xml:space="preserve"> </w:t>
      </w:r>
      <w:r w:rsidRPr="00590D46">
        <w:rPr>
          <w:color w:val="auto"/>
        </w:rPr>
        <w:t xml:space="preserve"> redatte in lingua italiana, </w:t>
      </w:r>
      <w:r w:rsidR="00684FC1" w:rsidRPr="0097752E">
        <w:rPr>
          <w:sz w:val="22"/>
          <w:szCs w:val="22"/>
        </w:rPr>
        <w:t>contenuti in tre distinti plichi, sigillati e controfirmati sui lembi di chiusura e recanti</w:t>
      </w:r>
      <w:r w:rsidR="00684FC1">
        <w:rPr>
          <w:sz w:val="22"/>
          <w:szCs w:val="22"/>
        </w:rPr>
        <w:t xml:space="preserve"> l’indicazione del contenuto</w:t>
      </w:r>
      <w:r w:rsidR="00684FC1" w:rsidRPr="0097752E">
        <w:rPr>
          <w:sz w:val="22"/>
          <w:szCs w:val="22"/>
        </w:rPr>
        <w:t>,</w:t>
      </w:r>
      <w:r w:rsidR="00684FC1" w:rsidRPr="00590D46">
        <w:rPr>
          <w:color w:val="auto"/>
        </w:rPr>
        <w:t xml:space="preserve"> </w:t>
      </w:r>
      <w:r w:rsidRPr="00590D46">
        <w:rPr>
          <w:color w:val="auto"/>
        </w:rPr>
        <w:t xml:space="preserve">deve pervenire </w:t>
      </w:r>
    </w:p>
    <w:p w:rsidR="005D15C0" w:rsidRDefault="002E47B7" w:rsidP="005D15C0">
      <w:pPr>
        <w:pStyle w:val="Default"/>
        <w:spacing w:line="360" w:lineRule="auto"/>
        <w:jc w:val="center"/>
        <w:rPr>
          <w:b/>
          <w:bCs/>
          <w:color w:val="auto"/>
        </w:rPr>
      </w:pPr>
      <w:r w:rsidRPr="00590D46">
        <w:rPr>
          <w:b/>
          <w:bCs/>
          <w:color w:val="auto"/>
        </w:rPr>
        <w:t>a pena di esclusione</w:t>
      </w:r>
    </w:p>
    <w:p w:rsidR="005D15C0" w:rsidRDefault="002E47B7" w:rsidP="005D15C0">
      <w:pPr>
        <w:pStyle w:val="Default"/>
        <w:spacing w:line="360" w:lineRule="auto"/>
        <w:jc w:val="center"/>
        <w:rPr>
          <w:b/>
          <w:bCs/>
          <w:color w:val="auto"/>
        </w:rPr>
      </w:pPr>
      <w:r w:rsidRPr="002F6BC3">
        <w:rPr>
          <w:color w:val="auto"/>
        </w:rPr>
        <w:t xml:space="preserve">entro e non oltre le </w:t>
      </w:r>
      <w:r w:rsidRPr="002F6BC3">
        <w:rPr>
          <w:b/>
          <w:bCs/>
          <w:color w:val="auto"/>
        </w:rPr>
        <w:t xml:space="preserve">ore </w:t>
      </w:r>
      <w:r w:rsidR="002F6BC3" w:rsidRPr="002F6BC3">
        <w:rPr>
          <w:b/>
          <w:bCs/>
          <w:color w:val="auto"/>
        </w:rPr>
        <w:t>13,00</w:t>
      </w:r>
      <w:r w:rsidRPr="002F6BC3">
        <w:rPr>
          <w:b/>
          <w:bCs/>
          <w:color w:val="auto"/>
        </w:rPr>
        <w:t xml:space="preserve"> del giorno</w:t>
      </w:r>
      <w:r w:rsidR="004446C0" w:rsidRPr="002F6BC3">
        <w:rPr>
          <w:b/>
          <w:bCs/>
          <w:color w:val="auto"/>
        </w:rPr>
        <w:t xml:space="preserve"> </w:t>
      </w:r>
      <w:r w:rsidR="002F6BC3" w:rsidRPr="002F6BC3">
        <w:rPr>
          <w:b/>
          <w:bCs/>
          <w:color w:val="auto"/>
        </w:rPr>
        <w:t>11</w:t>
      </w:r>
      <w:r w:rsidR="004446C0" w:rsidRPr="002F6BC3">
        <w:rPr>
          <w:b/>
          <w:bCs/>
          <w:color w:val="auto"/>
        </w:rPr>
        <w:t xml:space="preserve"> ottobre 2016</w:t>
      </w:r>
    </w:p>
    <w:p w:rsidR="002E47B7" w:rsidRPr="00590D46" w:rsidRDefault="002E47B7" w:rsidP="00590D46">
      <w:pPr>
        <w:pStyle w:val="Default"/>
        <w:spacing w:line="360" w:lineRule="auto"/>
        <w:jc w:val="both"/>
        <w:rPr>
          <w:color w:val="auto"/>
        </w:rPr>
      </w:pPr>
      <w:r w:rsidRPr="00590D46">
        <w:rPr>
          <w:color w:val="auto"/>
        </w:rPr>
        <w:t xml:space="preserve">al seguente indirizzo: Comune di </w:t>
      </w:r>
      <w:r w:rsidR="00916BC1" w:rsidRPr="00590D46">
        <w:rPr>
          <w:color w:val="auto"/>
        </w:rPr>
        <w:t>Vercelli</w:t>
      </w:r>
      <w:r w:rsidRPr="00590D46">
        <w:rPr>
          <w:color w:val="auto"/>
        </w:rPr>
        <w:t xml:space="preserve">, </w:t>
      </w:r>
      <w:r w:rsidR="00916BC1" w:rsidRPr="00590D46">
        <w:rPr>
          <w:color w:val="auto"/>
        </w:rPr>
        <w:t>Piazza Mun</w:t>
      </w:r>
      <w:r w:rsidR="005D15C0">
        <w:rPr>
          <w:color w:val="auto"/>
        </w:rPr>
        <w:t>i</w:t>
      </w:r>
      <w:r w:rsidR="00916BC1" w:rsidRPr="00590D46">
        <w:rPr>
          <w:color w:val="auto"/>
        </w:rPr>
        <w:t>cipio</w:t>
      </w:r>
      <w:r w:rsidRPr="00590D46">
        <w:rPr>
          <w:color w:val="auto"/>
        </w:rPr>
        <w:t xml:space="preserve"> n. 5, </w:t>
      </w:r>
      <w:r w:rsidR="00916BC1" w:rsidRPr="00590D46">
        <w:rPr>
          <w:color w:val="auto"/>
        </w:rPr>
        <w:t>13100</w:t>
      </w:r>
      <w:r w:rsidRPr="00590D46">
        <w:rPr>
          <w:color w:val="auto"/>
        </w:rPr>
        <w:t xml:space="preserve"> </w:t>
      </w:r>
      <w:r w:rsidR="00916BC1" w:rsidRPr="00590D46">
        <w:rPr>
          <w:color w:val="auto"/>
        </w:rPr>
        <w:t>Vercelli</w:t>
      </w:r>
      <w:r w:rsidRPr="00590D46">
        <w:rPr>
          <w:color w:val="auto"/>
        </w:rPr>
        <w:t xml:space="preserve"> tramite il servizio postale o corriere autorizzato. E’ ammessa, altresì, la presentazione del plico direttamente al protocollo dell’Ente presso l</w:t>
      </w:r>
      <w:r w:rsidR="00C017E7">
        <w:rPr>
          <w:color w:val="auto"/>
        </w:rPr>
        <w:t>’</w:t>
      </w:r>
      <w:r w:rsidRPr="00590D46">
        <w:rPr>
          <w:color w:val="auto"/>
        </w:rPr>
        <w:t>indirizzo succitato. L’orario di apertura dell’Ufficio Protocollo è il seguente: da</w:t>
      </w:r>
      <w:r w:rsidR="00916BC1" w:rsidRPr="00590D46">
        <w:rPr>
          <w:color w:val="auto"/>
        </w:rPr>
        <w:t>l lunedì al venerdì, dalle ore 8</w:t>
      </w:r>
      <w:r w:rsidRPr="00590D46">
        <w:rPr>
          <w:color w:val="auto"/>
        </w:rPr>
        <w:t>,</w:t>
      </w:r>
      <w:r w:rsidR="00916BC1" w:rsidRPr="00590D46">
        <w:rPr>
          <w:color w:val="auto"/>
        </w:rPr>
        <w:t>3</w:t>
      </w:r>
      <w:r w:rsidRPr="00590D46">
        <w:rPr>
          <w:color w:val="auto"/>
        </w:rPr>
        <w:t>0 alle ore 1</w:t>
      </w:r>
      <w:r w:rsidR="00590D46">
        <w:rPr>
          <w:color w:val="auto"/>
        </w:rPr>
        <w:t>3</w:t>
      </w:r>
      <w:r w:rsidRPr="00590D46">
        <w:rPr>
          <w:color w:val="auto"/>
        </w:rPr>
        <w:t>,</w:t>
      </w:r>
      <w:r w:rsidR="00590D46">
        <w:rPr>
          <w:color w:val="auto"/>
        </w:rPr>
        <w:t>0</w:t>
      </w:r>
      <w:r w:rsidRPr="00590D46">
        <w:rPr>
          <w:color w:val="auto"/>
        </w:rPr>
        <w:t xml:space="preserve">0. </w:t>
      </w:r>
    </w:p>
    <w:p w:rsidR="002E47B7" w:rsidRPr="00590D46" w:rsidRDefault="002E47B7" w:rsidP="00590D46">
      <w:pPr>
        <w:pStyle w:val="Default"/>
        <w:spacing w:line="360" w:lineRule="auto"/>
        <w:jc w:val="both"/>
        <w:rPr>
          <w:color w:val="auto"/>
        </w:rPr>
      </w:pPr>
      <w:r w:rsidRPr="00590D46">
        <w:rPr>
          <w:b/>
          <w:bCs/>
          <w:color w:val="auto"/>
        </w:rPr>
        <w:t xml:space="preserve">Ai fini dell'accertamento del rispetto dei termini di ricevimento dell'offerta, farà fede il timbro di arrivo al protocollo, posto ad opera del personale addetto all’Ufficio Protocollo del Comune. </w:t>
      </w:r>
    </w:p>
    <w:p w:rsidR="002E47B7" w:rsidRPr="00590D46" w:rsidRDefault="002E47B7" w:rsidP="00590D46">
      <w:pPr>
        <w:pStyle w:val="Default"/>
        <w:spacing w:line="360" w:lineRule="auto"/>
        <w:jc w:val="both"/>
        <w:rPr>
          <w:color w:val="auto"/>
        </w:rPr>
      </w:pPr>
      <w:r w:rsidRPr="00590D46">
        <w:rPr>
          <w:color w:val="auto"/>
        </w:rPr>
        <w:t xml:space="preserve">Oltre il sopraccitato termine di ricezione non sarà ritenuta valida alcun’altra offerta, anche sostitutiva o integrativa di quella precedente, né sarà consentita, in sede di gara, la presentazione di altre offerte. </w:t>
      </w:r>
    </w:p>
    <w:p w:rsidR="002E47B7" w:rsidRPr="00590D46" w:rsidRDefault="002E47B7" w:rsidP="00590D46">
      <w:pPr>
        <w:pStyle w:val="Default"/>
        <w:spacing w:line="360" w:lineRule="auto"/>
        <w:jc w:val="both"/>
        <w:rPr>
          <w:color w:val="auto"/>
        </w:rPr>
      </w:pPr>
      <w:r w:rsidRPr="00590D46">
        <w:rPr>
          <w:color w:val="auto"/>
        </w:rPr>
        <w:t xml:space="preserve">Il recapito del plico rimane ad esclusivo rischio del mittente, per cui la Stazione Appaltante non assumerà responsabilità alcuna qualora, per qualsiasi motivo, il plico medesimo non venisse recapitato in tempo utile. Non sono ammesse domande di partecipazione ed offerte trasmesse per telegramma, telex, telefono, fax, posta elettronica, ovvero espresse in modo indeterminato. </w:t>
      </w:r>
    </w:p>
    <w:p w:rsidR="00916BC1" w:rsidRPr="00590D46" w:rsidRDefault="00916BC1" w:rsidP="00590D46">
      <w:pPr>
        <w:pStyle w:val="Default"/>
        <w:spacing w:line="360" w:lineRule="auto"/>
        <w:jc w:val="both"/>
        <w:rPr>
          <w:color w:val="auto"/>
        </w:rPr>
      </w:pPr>
    </w:p>
    <w:p w:rsidR="002E47B7" w:rsidRPr="00590D46" w:rsidRDefault="002E47B7" w:rsidP="00590D46">
      <w:pPr>
        <w:pStyle w:val="Default"/>
        <w:spacing w:line="360" w:lineRule="auto"/>
        <w:jc w:val="both"/>
        <w:rPr>
          <w:color w:val="auto"/>
        </w:rPr>
      </w:pPr>
      <w:r w:rsidRPr="00590D46">
        <w:rPr>
          <w:color w:val="auto"/>
        </w:rPr>
        <w:t xml:space="preserve">Detto plico dovrà contenere n. </w:t>
      </w:r>
      <w:r w:rsidR="00684FC1">
        <w:rPr>
          <w:color w:val="auto"/>
        </w:rPr>
        <w:t>3</w:t>
      </w:r>
      <w:r w:rsidRPr="00590D46">
        <w:rPr>
          <w:color w:val="auto"/>
        </w:rPr>
        <w:t xml:space="preserve"> buste interne: </w:t>
      </w:r>
    </w:p>
    <w:p w:rsidR="002E47B7" w:rsidRPr="00590D46" w:rsidRDefault="002E47B7" w:rsidP="00590D46">
      <w:pPr>
        <w:pStyle w:val="Default"/>
        <w:spacing w:line="360" w:lineRule="auto"/>
        <w:jc w:val="both"/>
        <w:rPr>
          <w:color w:val="auto"/>
        </w:rPr>
      </w:pPr>
      <w:r w:rsidRPr="00590D46">
        <w:rPr>
          <w:b/>
          <w:bCs/>
          <w:color w:val="auto"/>
        </w:rPr>
        <w:t xml:space="preserve">A) BUSTA SIGILLATA E CONTROFIRMATA SUI LEMBI </w:t>
      </w:r>
      <w:proofErr w:type="spellStart"/>
      <w:r w:rsidRPr="00590D46">
        <w:rPr>
          <w:b/>
          <w:bCs/>
          <w:color w:val="auto"/>
        </w:rPr>
        <w:t>DI</w:t>
      </w:r>
      <w:proofErr w:type="spellEnd"/>
      <w:r w:rsidRPr="00590D46">
        <w:rPr>
          <w:b/>
          <w:bCs/>
          <w:color w:val="auto"/>
        </w:rPr>
        <w:t xml:space="preserve"> CHIUSURA CON L’INDICAZIONE ESTERNA, “BUSTA A -DOCUMENTAZIONE AMMINISTRATIVA”. </w:t>
      </w:r>
    </w:p>
    <w:p w:rsidR="002E47B7" w:rsidRPr="00590D46" w:rsidRDefault="002E47B7" w:rsidP="00590D46">
      <w:pPr>
        <w:pStyle w:val="Default"/>
        <w:spacing w:line="360" w:lineRule="auto"/>
        <w:jc w:val="both"/>
        <w:rPr>
          <w:color w:val="auto"/>
        </w:rPr>
      </w:pPr>
    </w:p>
    <w:p w:rsidR="002E47B7" w:rsidRPr="00590D46" w:rsidRDefault="002E47B7" w:rsidP="00590D46">
      <w:pPr>
        <w:pStyle w:val="Default"/>
        <w:spacing w:line="360" w:lineRule="auto"/>
        <w:jc w:val="both"/>
        <w:rPr>
          <w:color w:val="auto"/>
        </w:rPr>
      </w:pPr>
      <w:r w:rsidRPr="00590D46">
        <w:rPr>
          <w:color w:val="auto"/>
        </w:rPr>
        <w:t xml:space="preserve">La busta A dovrà contenere i seguenti documenti - a pena di esclusione, in quanto parte essenziale dell’offerta: </w:t>
      </w:r>
    </w:p>
    <w:p w:rsidR="002E47B7" w:rsidRPr="00590D46" w:rsidRDefault="002E47B7" w:rsidP="00590D46">
      <w:pPr>
        <w:pStyle w:val="Default"/>
        <w:spacing w:line="360" w:lineRule="auto"/>
        <w:jc w:val="both"/>
        <w:rPr>
          <w:color w:val="auto"/>
        </w:rPr>
      </w:pPr>
      <w:r w:rsidRPr="00590D46">
        <w:rPr>
          <w:color w:val="auto"/>
        </w:rPr>
        <w:t xml:space="preserve">- dichiarazione resa ai sensi degli art. 46 e 47 DPR n. 445/2000 concernente gli elementi di ammissione, da effettuare mediante compilazione, o riproduzione, del prestampato "Allegato A" </w:t>
      </w:r>
      <w:r w:rsidRPr="00590D46">
        <w:rPr>
          <w:color w:val="auto"/>
        </w:rPr>
        <w:lastRenderedPageBreak/>
        <w:t xml:space="preserve">(con tutte le dichiarazioni ivi contenute), debitamente sottoscritta dal titolare o legale rappresentante dell'impresa, con allegazione di una copia di un valido documento di identità personale da prescegliere fra quelli individuati all’articolo 35 del D.P.R. 445/2000 (passaporto, carta d'identità, ecc.); </w:t>
      </w:r>
    </w:p>
    <w:p w:rsidR="002E47B7" w:rsidRPr="00590D46" w:rsidRDefault="002E47B7" w:rsidP="00590D46">
      <w:pPr>
        <w:pStyle w:val="Default"/>
        <w:spacing w:line="360" w:lineRule="auto"/>
        <w:jc w:val="both"/>
        <w:rPr>
          <w:color w:val="auto"/>
        </w:rPr>
      </w:pPr>
      <w:r w:rsidRPr="00590D46">
        <w:rPr>
          <w:color w:val="auto"/>
        </w:rPr>
        <w:t xml:space="preserve">- cauzione provvisoria, da prestare secondo le modalità indicate al successivo paragrafo del presente disciplinare; trattasi di parte essenziale dell’offerta ai sensi dell’art. </w:t>
      </w:r>
      <w:r w:rsidR="005D15C0">
        <w:rPr>
          <w:color w:val="auto"/>
        </w:rPr>
        <w:t>93</w:t>
      </w:r>
      <w:r w:rsidRPr="00590D46">
        <w:rPr>
          <w:color w:val="auto"/>
        </w:rPr>
        <w:t xml:space="preserve"> del codice dei contratti, la cui mancanza costituisce causa di esclusione dalla gara; </w:t>
      </w:r>
    </w:p>
    <w:p w:rsidR="002E47B7" w:rsidRPr="00590D46" w:rsidRDefault="002E47B7" w:rsidP="00590D46">
      <w:pPr>
        <w:pStyle w:val="Default"/>
        <w:spacing w:line="360" w:lineRule="auto"/>
        <w:jc w:val="both"/>
        <w:rPr>
          <w:color w:val="auto"/>
        </w:rPr>
      </w:pPr>
      <w:r w:rsidRPr="00590D46">
        <w:rPr>
          <w:color w:val="auto"/>
        </w:rPr>
        <w:t xml:space="preserve">- dichiarazione di impegno di un fideiussore a rilasciare, in caso di aggiudicazione, la garanzia </w:t>
      </w:r>
      <w:proofErr w:type="spellStart"/>
      <w:r w:rsidRPr="00590D46">
        <w:rPr>
          <w:color w:val="auto"/>
        </w:rPr>
        <w:t>fidejussoria</w:t>
      </w:r>
      <w:proofErr w:type="spellEnd"/>
      <w:r w:rsidRPr="00590D46">
        <w:rPr>
          <w:color w:val="auto"/>
        </w:rPr>
        <w:t xml:space="preserve"> per l’esecuzione del contratto di cui all’art. </w:t>
      </w:r>
      <w:r w:rsidR="005D15C0">
        <w:rPr>
          <w:color w:val="auto"/>
        </w:rPr>
        <w:t>93,</w:t>
      </w:r>
      <w:r w:rsidR="00913D2C">
        <w:rPr>
          <w:color w:val="auto"/>
        </w:rPr>
        <w:t xml:space="preserve"> </w:t>
      </w:r>
      <w:r w:rsidR="005D15C0">
        <w:rPr>
          <w:color w:val="auto"/>
        </w:rPr>
        <w:t>comma 8,</w:t>
      </w:r>
      <w:r w:rsidRPr="00590D46">
        <w:rPr>
          <w:color w:val="auto"/>
        </w:rPr>
        <w:t xml:space="preserve"> del </w:t>
      </w:r>
      <w:proofErr w:type="spellStart"/>
      <w:r w:rsidRPr="00590D46">
        <w:rPr>
          <w:color w:val="auto"/>
        </w:rPr>
        <w:t>D.Lgs.</w:t>
      </w:r>
      <w:proofErr w:type="spellEnd"/>
      <w:r w:rsidRPr="00590D46">
        <w:rPr>
          <w:color w:val="auto"/>
        </w:rPr>
        <w:t xml:space="preserve"> </w:t>
      </w:r>
      <w:r w:rsidR="005D15C0">
        <w:rPr>
          <w:color w:val="auto"/>
        </w:rPr>
        <w:t>50</w:t>
      </w:r>
      <w:r w:rsidRPr="00590D46">
        <w:rPr>
          <w:color w:val="auto"/>
        </w:rPr>
        <w:t>/20</w:t>
      </w:r>
      <w:r w:rsidR="005D15C0">
        <w:rPr>
          <w:color w:val="auto"/>
        </w:rPr>
        <w:t>16</w:t>
      </w:r>
      <w:r w:rsidRPr="00590D46">
        <w:rPr>
          <w:color w:val="auto"/>
        </w:rPr>
        <w:t xml:space="preserve">; la mancata allegazione dell’impegno comporta l’esclusione dalla gara; </w:t>
      </w:r>
    </w:p>
    <w:p w:rsidR="00E00826" w:rsidRDefault="002E47B7" w:rsidP="00590D46">
      <w:pPr>
        <w:pStyle w:val="Default"/>
        <w:spacing w:line="360" w:lineRule="auto"/>
        <w:jc w:val="both"/>
        <w:rPr>
          <w:color w:val="auto"/>
        </w:rPr>
      </w:pPr>
      <w:r w:rsidRPr="00590D46">
        <w:rPr>
          <w:color w:val="auto"/>
        </w:rPr>
        <w:t>- copia del capitolato speciale d’appalto sottoscritto per accettazione in ogni pagina</w:t>
      </w:r>
    </w:p>
    <w:p w:rsidR="00A41C30" w:rsidRPr="00A41C30" w:rsidRDefault="00E00826" w:rsidP="00A41C30">
      <w:pPr>
        <w:ind w:left="0" w:right="-1"/>
        <w:rPr>
          <w:rFonts w:ascii="Times New Roman" w:hAnsi="Times New Roman" w:cs="Times New Roman"/>
          <w:color w:val="000000"/>
          <w:sz w:val="24"/>
          <w:szCs w:val="24"/>
        </w:rPr>
      </w:pPr>
      <w:r>
        <w:t xml:space="preserve">- </w:t>
      </w:r>
      <w:r w:rsidR="00A41C30" w:rsidRPr="00A41C30">
        <w:rPr>
          <w:rFonts w:ascii="Times New Roman" w:hAnsi="Times New Roman" w:cs="Times New Roman"/>
          <w:b/>
          <w:bCs/>
          <w:color w:val="000000"/>
          <w:sz w:val="24"/>
          <w:szCs w:val="24"/>
        </w:rPr>
        <w:t>Documento attestante l'attribuzione</w:t>
      </w:r>
      <w:r w:rsidR="00A41C30" w:rsidRPr="00A41C30">
        <w:rPr>
          <w:rFonts w:ascii="Times New Roman" w:hAnsi="Times New Roman" w:cs="Times New Roman"/>
          <w:color w:val="000000"/>
          <w:sz w:val="24"/>
          <w:szCs w:val="24"/>
        </w:rPr>
        <w:t xml:space="preserve"> del "PASS</w:t>
      </w:r>
      <w:r w:rsidR="00A41C30" w:rsidRPr="00A41C30">
        <w:rPr>
          <w:rFonts w:ascii="Times New Roman" w:hAnsi="Times New Roman" w:cs="Times New Roman"/>
          <w:i/>
          <w:sz w:val="24"/>
          <w:szCs w:val="24"/>
          <w:vertAlign w:val="subscript"/>
        </w:rPr>
        <w:t>OE</w:t>
      </w:r>
      <w:r w:rsidR="00A41C30" w:rsidRPr="00A41C30">
        <w:rPr>
          <w:rFonts w:ascii="Times New Roman" w:hAnsi="Times New Roman" w:cs="Times New Roman"/>
          <w:color w:val="000000"/>
          <w:sz w:val="24"/>
          <w:szCs w:val="24"/>
        </w:rPr>
        <w:t xml:space="preserve">" da parte del servizio </w:t>
      </w:r>
      <w:proofErr w:type="spellStart"/>
      <w:r w:rsidR="00A41C30" w:rsidRPr="00A41C30">
        <w:rPr>
          <w:rFonts w:ascii="Times New Roman" w:hAnsi="Times New Roman" w:cs="Times New Roman"/>
          <w:color w:val="000000"/>
          <w:sz w:val="24"/>
          <w:szCs w:val="24"/>
        </w:rPr>
        <w:t>AVCPass</w:t>
      </w:r>
      <w:proofErr w:type="spellEnd"/>
      <w:r w:rsidR="00A41C30" w:rsidRPr="00A41C30">
        <w:rPr>
          <w:rFonts w:ascii="Times New Roman" w:hAnsi="Times New Roman" w:cs="Times New Roman"/>
          <w:color w:val="000000"/>
          <w:sz w:val="24"/>
          <w:szCs w:val="24"/>
        </w:rPr>
        <w:t>.</w:t>
      </w:r>
    </w:p>
    <w:p w:rsidR="00913D2C" w:rsidRDefault="00913D2C"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 xml:space="preserve">B) BUSTA SIGILLATA E CONTROFIRMATA SUI LEMBI </w:t>
      </w:r>
      <w:proofErr w:type="spellStart"/>
      <w:r w:rsidRPr="00590D46">
        <w:rPr>
          <w:b/>
          <w:bCs/>
          <w:color w:val="auto"/>
        </w:rPr>
        <w:t>DI</w:t>
      </w:r>
      <w:proofErr w:type="spellEnd"/>
      <w:r w:rsidRPr="00590D46">
        <w:rPr>
          <w:b/>
          <w:bCs/>
          <w:color w:val="auto"/>
        </w:rPr>
        <w:t xml:space="preserve"> CHIUSURA CON L’INDICAZIONE ESTERNA, “BUSTA B - OFFERTA ECONOMICA”. </w:t>
      </w:r>
    </w:p>
    <w:p w:rsidR="002E47B7" w:rsidRPr="00590D46" w:rsidRDefault="002E47B7" w:rsidP="00590D46">
      <w:pPr>
        <w:pStyle w:val="Default"/>
        <w:spacing w:line="360" w:lineRule="auto"/>
        <w:jc w:val="both"/>
        <w:rPr>
          <w:color w:val="auto"/>
        </w:rPr>
      </w:pPr>
    </w:p>
    <w:p w:rsidR="002E47B7" w:rsidRPr="00590D46" w:rsidRDefault="002E47B7" w:rsidP="00590D46">
      <w:pPr>
        <w:pStyle w:val="Default"/>
        <w:spacing w:line="360" w:lineRule="auto"/>
        <w:jc w:val="both"/>
        <w:rPr>
          <w:color w:val="auto"/>
        </w:rPr>
      </w:pPr>
      <w:r w:rsidRPr="00590D46">
        <w:rPr>
          <w:color w:val="auto"/>
        </w:rPr>
        <w:t xml:space="preserve">La stessa dovrà contenere </w:t>
      </w:r>
      <w:r w:rsidRPr="00590D46">
        <w:rPr>
          <w:b/>
          <w:bCs/>
          <w:color w:val="auto"/>
        </w:rPr>
        <w:t>l’offerta</w:t>
      </w:r>
      <w:r w:rsidRPr="00590D46">
        <w:rPr>
          <w:color w:val="auto"/>
        </w:rPr>
        <w:t>, in maniera conforme allo schema di cui all’</w:t>
      </w:r>
      <w:r w:rsidRPr="00590D46">
        <w:rPr>
          <w:b/>
          <w:bCs/>
          <w:color w:val="auto"/>
        </w:rPr>
        <w:t>ALLEGATO B)</w:t>
      </w:r>
      <w:r w:rsidRPr="00590D46">
        <w:rPr>
          <w:color w:val="auto"/>
        </w:rPr>
        <w:t>, facente parte integrante e sostanziale del presente disciplinare, offerta che ai fini dell’am</w:t>
      </w:r>
      <w:r w:rsidR="002477F6">
        <w:rPr>
          <w:color w:val="auto"/>
        </w:rPr>
        <w:t xml:space="preserve">missione alla gara, </w:t>
      </w:r>
      <w:r w:rsidRPr="00590D46">
        <w:rPr>
          <w:color w:val="auto"/>
        </w:rPr>
        <w:t xml:space="preserve">dovrà: </w:t>
      </w:r>
    </w:p>
    <w:p w:rsidR="002E47B7" w:rsidRPr="00590D46" w:rsidRDefault="002E47B7" w:rsidP="00590D46">
      <w:pPr>
        <w:pStyle w:val="Default"/>
        <w:spacing w:line="360" w:lineRule="auto"/>
        <w:jc w:val="both"/>
        <w:rPr>
          <w:color w:val="auto"/>
        </w:rPr>
      </w:pPr>
      <w:r w:rsidRPr="00590D46">
        <w:rPr>
          <w:color w:val="auto"/>
        </w:rPr>
        <w:t>B1</w:t>
      </w:r>
      <w:r w:rsidRPr="00590D46">
        <w:rPr>
          <w:b/>
          <w:bCs/>
          <w:color w:val="auto"/>
        </w:rPr>
        <w:t xml:space="preserve">) </w:t>
      </w:r>
      <w:r w:rsidRPr="00590D46">
        <w:rPr>
          <w:color w:val="auto"/>
        </w:rPr>
        <w:t>Essere espressa in termini percentuali sull’importo a base d’asta con indicato tra parentesi l’importo netto ribassato in euro; Il ribasso percentuale potrà essere espresso con un massimo di tre cifre decimali; qualora i decimali fossero in numero maggiore si procederà ad arrotondare</w:t>
      </w:r>
      <w:r w:rsidR="00036B9D">
        <w:rPr>
          <w:color w:val="auto"/>
        </w:rPr>
        <w:t>, con metodo aritmetico,</w:t>
      </w:r>
      <w:r w:rsidRPr="00590D46">
        <w:rPr>
          <w:color w:val="auto"/>
        </w:rPr>
        <w:t xml:space="preserve"> per eccesso o per difetto al terzo decimale; Non si accettano offerte pari o in aumento rispetto al prezzo a base d’asta. </w:t>
      </w:r>
    </w:p>
    <w:p w:rsidR="002E47B7" w:rsidRPr="00590D46" w:rsidRDefault="002E47B7" w:rsidP="00590D46">
      <w:pPr>
        <w:pStyle w:val="Default"/>
        <w:spacing w:line="360" w:lineRule="auto"/>
        <w:jc w:val="both"/>
        <w:rPr>
          <w:color w:val="auto"/>
        </w:rPr>
      </w:pPr>
      <w:r w:rsidRPr="00590D46">
        <w:rPr>
          <w:color w:val="auto"/>
        </w:rPr>
        <w:t>B2</w:t>
      </w:r>
      <w:r w:rsidRPr="00590D46">
        <w:rPr>
          <w:b/>
          <w:bCs/>
          <w:color w:val="auto"/>
        </w:rPr>
        <w:t xml:space="preserve">) </w:t>
      </w:r>
      <w:r w:rsidRPr="00590D46">
        <w:rPr>
          <w:color w:val="auto"/>
        </w:rPr>
        <w:t xml:space="preserve">Essere redatta in lingua italiana, in cifre e lettere. Nel caso di discordanza tra percentuale espressa in cifre e quella espressa in lettere, sarà valida l’indicazione espressa in lettere. </w:t>
      </w:r>
      <w:r w:rsidR="008A0F23">
        <w:rPr>
          <w:color w:val="auto"/>
        </w:rPr>
        <w:t>In caso di discordanza tra percentuale e importo, sarà valida l’indicazione della percentuale.</w:t>
      </w:r>
    </w:p>
    <w:p w:rsidR="002E47B7" w:rsidRDefault="002E47B7" w:rsidP="00590D46">
      <w:pPr>
        <w:pStyle w:val="Default"/>
        <w:spacing w:line="360" w:lineRule="auto"/>
        <w:jc w:val="both"/>
        <w:rPr>
          <w:color w:val="auto"/>
        </w:rPr>
      </w:pPr>
      <w:r w:rsidRPr="00590D46">
        <w:rPr>
          <w:color w:val="auto"/>
        </w:rPr>
        <w:t>B3</w:t>
      </w:r>
      <w:r w:rsidRPr="00590D46">
        <w:rPr>
          <w:b/>
          <w:bCs/>
          <w:color w:val="auto"/>
        </w:rPr>
        <w:t xml:space="preserve">) </w:t>
      </w:r>
      <w:r w:rsidRPr="00590D46">
        <w:rPr>
          <w:color w:val="auto"/>
        </w:rPr>
        <w:t xml:space="preserve">Essere sottoscritta </w:t>
      </w:r>
      <w:r w:rsidRPr="00590D46">
        <w:rPr>
          <w:b/>
          <w:bCs/>
          <w:color w:val="auto"/>
        </w:rPr>
        <w:t xml:space="preserve">a pena di esclusione </w:t>
      </w:r>
      <w:r w:rsidRPr="00590D46">
        <w:rPr>
          <w:color w:val="auto"/>
        </w:rPr>
        <w:t xml:space="preserve">in forma leggibile dal titolare o dal legale rappresentante della ditta o consorzi concorrenti; nel caso di presentazione da parte di raggruppamenti temporanei di concorrenti e consorzi ordinari di concorrenti non ancora costituiti, l’offerta deve essere sottoscritta da tutti gli operatori economici che costituiranno i raggruppamenti temporanei o consorzi ordinari. </w:t>
      </w:r>
    </w:p>
    <w:p w:rsidR="007B452E" w:rsidRPr="007B452E" w:rsidRDefault="007B452E" w:rsidP="007B452E">
      <w:pPr>
        <w:pStyle w:val="Default"/>
        <w:spacing w:line="360" w:lineRule="auto"/>
        <w:jc w:val="both"/>
      </w:pPr>
      <w:r w:rsidRPr="007B452E">
        <w:t xml:space="preserve">Per la valutazione del punteggio dell’offerta economica si procederà come segue: </w:t>
      </w:r>
    </w:p>
    <w:p w:rsidR="007B452E" w:rsidRPr="007B452E" w:rsidRDefault="007B452E" w:rsidP="007B452E">
      <w:pPr>
        <w:pStyle w:val="Default"/>
        <w:spacing w:line="360" w:lineRule="auto"/>
        <w:jc w:val="both"/>
      </w:pPr>
      <w:r w:rsidRPr="007B452E">
        <w:t>Vai = Ra</w:t>
      </w:r>
      <w:r>
        <w:t>/</w:t>
      </w:r>
      <w:proofErr w:type="spellStart"/>
      <w:r w:rsidRPr="007B452E">
        <w:t>Rmax</w:t>
      </w:r>
      <w:proofErr w:type="spellEnd"/>
      <w:r w:rsidRPr="007B452E">
        <w:t xml:space="preserve"> </w:t>
      </w:r>
    </w:p>
    <w:p w:rsidR="007B452E" w:rsidRPr="007B452E" w:rsidRDefault="007B452E" w:rsidP="007B452E">
      <w:pPr>
        <w:pStyle w:val="Default"/>
        <w:spacing w:line="360" w:lineRule="auto"/>
        <w:jc w:val="both"/>
      </w:pPr>
      <w:r w:rsidRPr="007B452E">
        <w:lastRenderedPageBreak/>
        <w:t xml:space="preserve">Vai = coefficiente della prestazione dell’offerta (a) rispetto al requisito (i), variabile tra 0 e 1 </w:t>
      </w:r>
    </w:p>
    <w:p w:rsidR="007B452E" w:rsidRPr="007B452E" w:rsidRDefault="007B452E" w:rsidP="007B452E">
      <w:pPr>
        <w:pStyle w:val="Default"/>
        <w:spacing w:line="360" w:lineRule="auto"/>
        <w:jc w:val="both"/>
      </w:pPr>
      <w:r w:rsidRPr="007B452E">
        <w:t xml:space="preserve">Ra = valore (ribasso) offerte dal concorrente in esame </w:t>
      </w:r>
    </w:p>
    <w:p w:rsidR="007B452E" w:rsidRPr="007B452E" w:rsidRDefault="007B452E" w:rsidP="007B452E">
      <w:pPr>
        <w:pStyle w:val="Default"/>
        <w:spacing w:line="360" w:lineRule="auto"/>
        <w:jc w:val="both"/>
      </w:pPr>
      <w:proofErr w:type="spellStart"/>
      <w:r w:rsidRPr="007B452E">
        <w:t>Rmax</w:t>
      </w:r>
      <w:proofErr w:type="spellEnd"/>
      <w:r w:rsidRPr="007B452E">
        <w:t xml:space="preserve"> = valore (ribasso) dell’offerta più conveniente </w:t>
      </w:r>
    </w:p>
    <w:p w:rsidR="007B452E" w:rsidRPr="007B452E" w:rsidRDefault="007B452E" w:rsidP="007B452E">
      <w:pPr>
        <w:pStyle w:val="Default"/>
        <w:spacing w:line="360" w:lineRule="auto"/>
        <w:jc w:val="both"/>
        <w:rPr>
          <w:color w:val="auto"/>
        </w:rPr>
      </w:pPr>
      <w:r w:rsidRPr="007B452E">
        <w:t>Per il concorrente che non effettua alcuno sconto “Ra” assume valore 0, così come il coefficiente “Vai”; mentre per il concorrente che offre il maggiore sconto “Vai” assume il valore 1. Il coefficiente andrà poi moltiplicato per il punteggio massimo attribuibile.</w:t>
      </w:r>
    </w:p>
    <w:p w:rsidR="007B452E" w:rsidRDefault="007B452E" w:rsidP="00684FC1">
      <w:pPr>
        <w:pStyle w:val="Default"/>
        <w:spacing w:line="360" w:lineRule="auto"/>
        <w:jc w:val="both"/>
        <w:rPr>
          <w:b/>
          <w:bCs/>
          <w:color w:val="auto"/>
        </w:rPr>
      </w:pPr>
    </w:p>
    <w:p w:rsidR="00684FC1" w:rsidRPr="00590D46" w:rsidRDefault="00684FC1" w:rsidP="00684FC1">
      <w:pPr>
        <w:pStyle w:val="Default"/>
        <w:spacing w:line="360" w:lineRule="auto"/>
        <w:jc w:val="both"/>
        <w:rPr>
          <w:color w:val="auto"/>
        </w:rPr>
      </w:pPr>
      <w:r>
        <w:rPr>
          <w:b/>
          <w:bCs/>
          <w:color w:val="auto"/>
        </w:rPr>
        <w:t>C</w:t>
      </w:r>
      <w:r w:rsidRPr="00590D46">
        <w:rPr>
          <w:b/>
          <w:bCs/>
          <w:color w:val="auto"/>
        </w:rPr>
        <w:t xml:space="preserve">) BUSTA SIGILLATA E CONTROFIRMATA SUI LEMBI </w:t>
      </w:r>
      <w:proofErr w:type="spellStart"/>
      <w:r w:rsidRPr="00590D46">
        <w:rPr>
          <w:b/>
          <w:bCs/>
          <w:color w:val="auto"/>
        </w:rPr>
        <w:t>DI</w:t>
      </w:r>
      <w:proofErr w:type="spellEnd"/>
      <w:r w:rsidRPr="00590D46">
        <w:rPr>
          <w:b/>
          <w:bCs/>
          <w:color w:val="auto"/>
        </w:rPr>
        <w:t xml:space="preserve"> CHIUSURA CON L’INDICAZIONE ESTERNA, “BUSTA B </w:t>
      </w:r>
      <w:r>
        <w:rPr>
          <w:b/>
          <w:bCs/>
          <w:color w:val="auto"/>
        </w:rPr>
        <w:t>–</w:t>
      </w:r>
      <w:r w:rsidRPr="00590D46">
        <w:rPr>
          <w:b/>
          <w:bCs/>
          <w:color w:val="auto"/>
        </w:rPr>
        <w:t xml:space="preserve"> </w:t>
      </w:r>
      <w:r w:rsidR="00F64483">
        <w:rPr>
          <w:b/>
          <w:bCs/>
          <w:color w:val="auto"/>
        </w:rPr>
        <w:t xml:space="preserve">OFFERTA </w:t>
      </w:r>
      <w:r>
        <w:rPr>
          <w:b/>
          <w:bCs/>
          <w:color w:val="auto"/>
        </w:rPr>
        <w:t>TECNICA</w:t>
      </w:r>
      <w:r w:rsidRPr="00590D46">
        <w:rPr>
          <w:b/>
          <w:bCs/>
          <w:color w:val="auto"/>
        </w:rPr>
        <w:t xml:space="preserve">”. </w:t>
      </w:r>
    </w:p>
    <w:p w:rsidR="00684FC1" w:rsidRDefault="000446C7" w:rsidP="00590D46">
      <w:pPr>
        <w:pStyle w:val="Default"/>
        <w:spacing w:line="360" w:lineRule="auto"/>
        <w:jc w:val="both"/>
        <w:rPr>
          <w:sz w:val="20"/>
          <w:szCs w:val="20"/>
        </w:rPr>
      </w:pPr>
      <w:r w:rsidRPr="000446C7">
        <w:t xml:space="preserve">L’offerta tecnica </w:t>
      </w:r>
      <w:r w:rsidR="00F64483">
        <w:t>(</w:t>
      </w:r>
      <w:r w:rsidR="00F64483" w:rsidRPr="00590D46">
        <w:rPr>
          <w:color w:val="auto"/>
        </w:rPr>
        <w:t xml:space="preserve">sottoscritta </w:t>
      </w:r>
      <w:r w:rsidR="00F64483" w:rsidRPr="00590D46">
        <w:rPr>
          <w:b/>
          <w:bCs/>
          <w:color w:val="auto"/>
        </w:rPr>
        <w:t xml:space="preserve">a pena di esclusione </w:t>
      </w:r>
      <w:r w:rsidR="00F64483" w:rsidRPr="00590D46">
        <w:rPr>
          <w:color w:val="auto"/>
        </w:rPr>
        <w:t>in forma leggibile dal titolare o dal legale rappresentante della ditta o consorzi concorrenti</w:t>
      </w:r>
      <w:r w:rsidR="00F64483">
        <w:rPr>
          <w:color w:val="auto"/>
        </w:rPr>
        <w:t>)</w:t>
      </w:r>
      <w:r w:rsidR="00F64483" w:rsidRPr="000446C7">
        <w:t xml:space="preserve"> </w:t>
      </w:r>
      <w:r w:rsidRPr="000446C7">
        <w:t xml:space="preserve">diventerà parte integrante e sostanziale del contratto e dovrà contenere un progetto redatto in numero massimo di </w:t>
      </w:r>
      <w:r>
        <w:t>6</w:t>
      </w:r>
      <w:r w:rsidRPr="000446C7">
        <w:t xml:space="preserve"> facciate in formato </w:t>
      </w:r>
      <w:proofErr w:type="spellStart"/>
      <w:r w:rsidRPr="000446C7">
        <w:t>A4</w:t>
      </w:r>
      <w:proofErr w:type="spellEnd"/>
      <w:r w:rsidRPr="000446C7">
        <w:t xml:space="preserve"> dattiloscritte con carattere</w:t>
      </w:r>
      <w:r>
        <w:t xml:space="preserve"> </w:t>
      </w:r>
      <w:proofErr w:type="spellStart"/>
      <w:r w:rsidRPr="000446C7">
        <w:t>Times</w:t>
      </w:r>
      <w:proofErr w:type="spellEnd"/>
      <w:r w:rsidRPr="000446C7">
        <w:t xml:space="preserve"> New Roman, di dimensione 12, per un massimo di 40 righe per ogni facciata. Non sarà valutato il contenuto di altri eventuali elaborati scritti a</w:t>
      </w:r>
      <w:r w:rsidR="004E3ECD">
        <w:t>llegati a predetto progetto di 6</w:t>
      </w:r>
      <w:r w:rsidRPr="000446C7">
        <w:t xml:space="preserve"> facciate inseriti all’interno della busta contenente l’offerta tecnica</w:t>
      </w:r>
      <w:r>
        <w:rPr>
          <w:sz w:val="20"/>
          <w:szCs w:val="20"/>
        </w:rPr>
        <w:t>.</w:t>
      </w:r>
    </w:p>
    <w:p w:rsidR="004E3ECD" w:rsidRDefault="004E3ECD" w:rsidP="00590D46">
      <w:pPr>
        <w:pStyle w:val="Default"/>
        <w:spacing w:line="360" w:lineRule="auto"/>
        <w:jc w:val="both"/>
      </w:pPr>
      <w:r w:rsidRPr="004E3ECD">
        <w:t>L’offerta tecnica sarà valutata seguendo i criteri e le relative ponderazioni di seguito esposti</w:t>
      </w:r>
    </w:p>
    <w:p w:rsidR="00F64483" w:rsidRPr="004E3ECD" w:rsidRDefault="00F64483" w:rsidP="00590D46">
      <w:pPr>
        <w:pStyle w:val="Default"/>
        <w:spacing w:line="360" w:lineRule="auto"/>
        <w:jc w:val="both"/>
        <w:rPr>
          <w:color w:val="auto"/>
        </w:rPr>
      </w:pPr>
    </w:p>
    <w:tbl>
      <w:tblPr>
        <w:tblStyle w:val="Grigliatabella"/>
        <w:tblW w:w="0" w:type="auto"/>
        <w:tblLook w:val="04A0"/>
      </w:tblPr>
      <w:tblGrid>
        <w:gridCol w:w="959"/>
        <w:gridCol w:w="7229"/>
        <w:gridCol w:w="1590"/>
      </w:tblGrid>
      <w:tr w:rsidR="004E3ECD" w:rsidRPr="004E3ECD" w:rsidTr="004E3ECD">
        <w:tc>
          <w:tcPr>
            <w:tcW w:w="959" w:type="dxa"/>
          </w:tcPr>
          <w:p w:rsidR="004E3ECD" w:rsidRPr="004E3ECD" w:rsidRDefault="004E3ECD" w:rsidP="00590D46">
            <w:pPr>
              <w:pStyle w:val="Default"/>
              <w:spacing w:line="360" w:lineRule="auto"/>
              <w:jc w:val="both"/>
              <w:rPr>
                <w:b/>
                <w:bCs/>
                <w:color w:val="auto"/>
                <w:sz w:val="20"/>
                <w:szCs w:val="20"/>
              </w:rPr>
            </w:pPr>
            <w:r w:rsidRPr="004E3ECD">
              <w:rPr>
                <w:b/>
                <w:bCs/>
                <w:color w:val="auto"/>
                <w:sz w:val="20"/>
                <w:szCs w:val="20"/>
              </w:rPr>
              <w:t>Criterio</w:t>
            </w:r>
          </w:p>
        </w:tc>
        <w:tc>
          <w:tcPr>
            <w:tcW w:w="7229" w:type="dxa"/>
          </w:tcPr>
          <w:p w:rsidR="004E3ECD" w:rsidRPr="004E3ECD" w:rsidRDefault="004E3ECD" w:rsidP="00590D46">
            <w:pPr>
              <w:pStyle w:val="Default"/>
              <w:spacing w:line="360" w:lineRule="auto"/>
              <w:jc w:val="both"/>
              <w:rPr>
                <w:b/>
                <w:bCs/>
                <w:color w:val="auto"/>
                <w:sz w:val="20"/>
                <w:szCs w:val="20"/>
              </w:rPr>
            </w:pPr>
            <w:r w:rsidRPr="004E3ECD">
              <w:rPr>
                <w:b/>
                <w:bCs/>
                <w:color w:val="auto"/>
                <w:sz w:val="20"/>
                <w:szCs w:val="20"/>
              </w:rPr>
              <w:t>Descrizione</w:t>
            </w:r>
          </w:p>
        </w:tc>
        <w:tc>
          <w:tcPr>
            <w:tcW w:w="1590" w:type="dxa"/>
          </w:tcPr>
          <w:p w:rsidR="004E3ECD" w:rsidRPr="004E3ECD" w:rsidRDefault="004E3ECD" w:rsidP="00590D46">
            <w:pPr>
              <w:pStyle w:val="Default"/>
              <w:spacing w:line="360" w:lineRule="auto"/>
              <w:jc w:val="both"/>
              <w:rPr>
                <w:b/>
                <w:bCs/>
                <w:color w:val="auto"/>
                <w:sz w:val="20"/>
                <w:szCs w:val="20"/>
              </w:rPr>
            </w:pPr>
            <w:r w:rsidRPr="004E3ECD">
              <w:rPr>
                <w:b/>
                <w:bCs/>
                <w:color w:val="auto"/>
                <w:sz w:val="20"/>
                <w:szCs w:val="20"/>
              </w:rPr>
              <w:t>Peso attribuito</w:t>
            </w:r>
          </w:p>
        </w:tc>
      </w:tr>
      <w:tr w:rsidR="004E3ECD" w:rsidRPr="004E3ECD" w:rsidTr="004E3ECD">
        <w:tc>
          <w:tcPr>
            <w:tcW w:w="959" w:type="dxa"/>
          </w:tcPr>
          <w:p w:rsidR="004E3ECD" w:rsidRPr="00D6723B" w:rsidRDefault="004E3ECD" w:rsidP="00590D46">
            <w:pPr>
              <w:pStyle w:val="Default"/>
              <w:spacing w:line="360" w:lineRule="auto"/>
              <w:jc w:val="both"/>
              <w:rPr>
                <w:b/>
                <w:bCs/>
                <w:color w:val="auto"/>
                <w:sz w:val="20"/>
                <w:szCs w:val="20"/>
              </w:rPr>
            </w:pPr>
            <w:r w:rsidRPr="00D6723B">
              <w:rPr>
                <w:b/>
                <w:bCs/>
                <w:color w:val="auto"/>
                <w:sz w:val="20"/>
                <w:szCs w:val="20"/>
              </w:rPr>
              <w:t>A</w:t>
            </w:r>
          </w:p>
        </w:tc>
        <w:tc>
          <w:tcPr>
            <w:tcW w:w="7229" w:type="dxa"/>
          </w:tcPr>
          <w:p w:rsidR="004E3ECD" w:rsidRPr="004E3ECD" w:rsidRDefault="004E3ECD" w:rsidP="00590D46">
            <w:pPr>
              <w:pStyle w:val="Default"/>
              <w:spacing w:line="360" w:lineRule="auto"/>
              <w:jc w:val="both"/>
              <w:rPr>
                <w:b/>
                <w:bCs/>
                <w:color w:val="auto"/>
                <w:sz w:val="20"/>
                <w:szCs w:val="20"/>
              </w:rPr>
            </w:pPr>
            <w:r w:rsidRPr="004E3ECD">
              <w:rPr>
                <w:b/>
                <w:bCs/>
                <w:color w:val="auto"/>
                <w:sz w:val="20"/>
                <w:szCs w:val="20"/>
              </w:rPr>
              <w:t>Progetto tecnico di organizzazione e gestione del servizio</w:t>
            </w:r>
          </w:p>
          <w:p w:rsidR="004E3ECD" w:rsidRDefault="004E3ECD" w:rsidP="004E3ECD">
            <w:pPr>
              <w:pStyle w:val="Default"/>
              <w:numPr>
                <w:ilvl w:val="0"/>
                <w:numId w:val="1"/>
              </w:numPr>
              <w:spacing w:line="360" w:lineRule="auto"/>
              <w:ind w:left="459" w:hanging="142"/>
              <w:jc w:val="both"/>
              <w:rPr>
                <w:bCs/>
                <w:color w:val="auto"/>
                <w:sz w:val="20"/>
                <w:szCs w:val="20"/>
              </w:rPr>
            </w:pPr>
            <w:r w:rsidRPr="004E3ECD">
              <w:rPr>
                <w:bCs/>
                <w:color w:val="auto"/>
                <w:sz w:val="20"/>
                <w:szCs w:val="20"/>
              </w:rPr>
              <w:t>Piano e metodologia di intervento per l’espletamento del servizio</w:t>
            </w:r>
          </w:p>
          <w:p w:rsidR="004E3ECD" w:rsidRDefault="004E3ECD" w:rsidP="004E3ECD">
            <w:pPr>
              <w:pStyle w:val="Default"/>
              <w:numPr>
                <w:ilvl w:val="0"/>
                <w:numId w:val="1"/>
              </w:numPr>
              <w:spacing w:line="360" w:lineRule="auto"/>
              <w:ind w:left="742" w:hanging="425"/>
              <w:jc w:val="both"/>
              <w:rPr>
                <w:bCs/>
                <w:color w:val="auto"/>
                <w:sz w:val="20"/>
                <w:szCs w:val="20"/>
              </w:rPr>
            </w:pPr>
            <w:r>
              <w:rPr>
                <w:bCs/>
                <w:color w:val="auto"/>
                <w:sz w:val="20"/>
                <w:szCs w:val="20"/>
              </w:rPr>
              <w:t>Strumenti e risorse necessarie allo svolgimento delle attività previste dal servizio, con particolare riferimento alla procedure informatiche</w:t>
            </w:r>
          </w:p>
          <w:p w:rsidR="004E3ECD" w:rsidRPr="004E3ECD" w:rsidRDefault="004E3ECD" w:rsidP="004E3ECD">
            <w:pPr>
              <w:pStyle w:val="Default"/>
              <w:numPr>
                <w:ilvl w:val="0"/>
                <w:numId w:val="1"/>
              </w:numPr>
              <w:spacing w:line="360" w:lineRule="auto"/>
              <w:ind w:left="459" w:hanging="142"/>
              <w:jc w:val="both"/>
              <w:rPr>
                <w:bCs/>
                <w:color w:val="auto"/>
                <w:sz w:val="20"/>
                <w:szCs w:val="20"/>
              </w:rPr>
            </w:pPr>
            <w:r>
              <w:rPr>
                <w:bCs/>
                <w:color w:val="auto"/>
                <w:sz w:val="20"/>
                <w:szCs w:val="20"/>
              </w:rPr>
              <w:t>Tempistica e modalità di attivazione e di gestione degli interventi</w:t>
            </w:r>
          </w:p>
        </w:tc>
        <w:tc>
          <w:tcPr>
            <w:tcW w:w="1590" w:type="dxa"/>
          </w:tcPr>
          <w:p w:rsidR="004E3ECD" w:rsidRPr="00327FA0" w:rsidRDefault="00327FA0" w:rsidP="00590D46">
            <w:pPr>
              <w:pStyle w:val="Default"/>
              <w:spacing w:line="360" w:lineRule="auto"/>
              <w:jc w:val="both"/>
              <w:rPr>
                <w:b/>
                <w:bCs/>
                <w:color w:val="auto"/>
                <w:sz w:val="20"/>
                <w:szCs w:val="20"/>
              </w:rPr>
            </w:pPr>
            <w:r w:rsidRPr="00327FA0">
              <w:rPr>
                <w:b/>
                <w:bCs/>
                <w:color w:val="auto"/>
                <w:sz w:val="20"/>
                <w:szCs w:val="20"/>
              </w:rPr>
              <w:t>35</w:t>
            </w:r>
          </w:p>
          <w:p w:rsidR="00327FA0" w:rsidRDefault="00327FA0" w:rsidP="00590D46">
            <w:pPr>
              <w:pStyle w:val="Default"/>
              <w:spacing w:line="360" w:lineRule="auto"/>
              <w:jc w:val="both"/>
              <w:rPr>
                <w:bCs/>
                <w:color w:val="auto"/>
                <w:sz w:val="20"/>
                <w:szCs w:val="20"/>
              </w:rPr>
            </w:pPr>
            <w:r>
              <w:rPr>
                <w:bCs/>
                <w:color w:val="auto"/>
                <w:sz w:val="20"/>
                <w:szCs w:val="20"/>
              </w:rPr>
              <w:t>15</w:t>
            </w:r>
          </w:p>
          <w:p w:rsidR="00327FA0" w:rsidRDefault="00327FA0" w:rsidP="00590D46">
            <w:pPr>
              <w:pStyle w:val="Default"/>
              <w:spacing w:line="360" w:lineRule="auto"/>
              <w:jc w:val="both"/>
              <w:rPr>
                <w:bCs/>
                <w:color w:val="auto"/>
                <w:sz w:val="20"/>
                <w:szCs w:val="20"/>
              </w:rPr>
            </w:pPr>
            <w:r>
              <w:rPr>
                <w:bCs/>
                <w:color w:val="auto"/>
                <w:sz w:val="20"/>
                <w:szCs w:val="20"/>
              </w:rPr>
              <w:t>15</w:t>
            </w:r>
          </w:p>
          <w:p w:rsidR="00327FA0" w:rsidRDefault="00327FA0" w:rsidP="00590D46">
            <w:pPr>
              <w:pStyle w:val="Default"/>
              <w:spacing w:line="360" w:lineRule="auto"/>
              <w:jc w:val="both"/>
              <w:rPr>
                <w:bCs/>
                <w:color w:val="auto"/>
                <w:sz w:val="20"/>
                <w:szCs w:val="20"/>
              </w:rPr>
            </w:pPr>
          </w:p>
          <w:p w:rsidR="00327FA0" w:rsidRPr="004E3ECD" w:rsidRDefault="00327FA0" w:rsidP="00590D46">
            <w:pPr>
              <w:pStyle w:val="Default"/>
              <w:spacing w:line="360" w:lineRule="auto"/>
              <w:jc w:val="both"/>
              <w:rPr>
                <w:bCs/>
                <w:color w:val="auto"/>
                <w:sz w:val="20"/>
                <w:szCs w:val="20"/>
              </w:rPr>
            </w:pPr>
            <w:r>
              <w:rPr>
                <w:bCs/>
                <w:color w:val="auto"/>
                <w:sz w:val="20"/>
                <w:szCs w:val="20"/>
              </w:rPr>
              <w:t>5</w:t>
            </w:r>
          </w:p>
        </w:tc>
      </w:tr>
      <w:tr w:rsidR="004E3ECD" w:rsidTr="004E3ECD">
        <w:tc>
          <w:tcPr>
            <w:tcW w:w="959" w:type="dxa"/>
          </w:tcPr>
          <w:p w:rsidR="004E3ECD" w:rsidRPr="00D6723B" w:rsidRDefault="004E3ECD" w:rsidP="00590D46">
            <w:pPr>
              <w:pStyle w:val="Default"/>
              <w:spacing w:line="360" w:lineRule="auto"/>
              <w:jc w:val="both"/>
              <w:rPr>
                <w:b/>
                <w:bCs/>
                <w:color w:val="auto"/>
                <w:sz w:val="20"/>
                <w:szCs w:val="20"/>
              </w:rPr>
            </w:pPr>
            <w:r w:rsidRPr="00D6723B">
              <w:rPr>
                <w:b/>
                <w:bCs/>
                <w:color w:val="auto"/>
                <w:sz w:val="20"/>
                <w:szCs w:val="20"/>
              </w:rPr>
              <w:t>B</w:t>
            </w:r>
          </w:p>
        </w:tc>
        <w:tc>
          <w:tcPr>
            <w:tcW w:w="7229" w:type="dxa"/>
          </w:tcPr>
          <w:p w:rsidR="004E3ECD" w:rsidRPr="004E3ECD" w:rsidRDefault="004E3ECD" w:rsidP="00590D46">
            <w:pPr>
              <w:pStyle w:val="Default"/>
              <w:spacing w:line="360" w:lineRule="auto"/>
              <w:jc w:val="both"/>
              <w:rPr>
                <w:b/>
                <w:bCs/>
                <w:color w:val="auto"/>
                <w:sz w:val="20"/>
                <w:szCs w:val="20"/>
              </w:rPr>
            </w:pPr>
            <w:r w:rsidRPr="004E3ECD">
              <w:rPr>
                <w:b/>
                <w:bCs/>
                <w:color w:val="auto"/>
                <w:sz w:val="20"/>
                <w:szCs w:val="20"/>
              </w:rPr>
              <w:t>Qualificazione e organizzazione del personale impiegato</w:t>
            </w:r>
          </w:p>
          <w:p w:rsidR="004E3ECD" w:rsidRPr="004E3ECD" w:rsidRDefault="004E3ECD" w:rsidP="004E3ECD">
            <w:pPr>
              <w:pStyle w:val="Default"/>
              <w:numPr>
                <w:ilvl w:val="0"/>
                <w:numId w:val="2"/>
              </w:numPr>
              <w:spacing w:line="360" w:lineRule="auto"/>
              <w:jc w:val="both"/>
              <w:rPr>
                <w:bCs/>
                <w:color w:val="auto"/>
                <w:sz w:val="20"/>
                <w:szCs w:val="20"/>
              </w:rPr>
            </w:pPr>
            <w:r w:rsidRPr="004E3ECD">
              <w:rPr>
                <w:bCs/>
                <w:color w:val="auto"/>
                <w:sz w:val="20"/>
                <w:szCs w:val="20"/>
              </w:rPr>
              <w:t>Struttura organizzativa, tecnica e professionale messa a disposizione</w:t>
            </w:r>
          </w:p>
          <w:p w:rsidR="004E3ECD" w:rsidRPr="004E3ECD" w:rsidRDefault="004E3ECD" w:rsidP="004E3ECD">
            <w:pPr>
              <w:pStyle w:val="Default"/>
              <w:numPr>
                <w:ilvl w:val="0"/>
                <w:numId w:val="2"/>
              </w:numPr>
              <w:spacing w:line="360" w:lineRule="auto"/>
              <w:jc w:val="both"/>
              <w:rPr>
                <w:bCs/>
                <w:color w:val="auto"/>
                <w:sz w:val="20"/>
                <w:szCs w:val="20"/>
              </w:rPr>
            </w:pPr>
            <w:r w:rsidRPr="004E3ECD">
              <w:rPr>
                <w:bCs/>
                <w:color w:val="auto"/>
                <w:sz w:val="20"/>
                <w:szCs w:val="20"/>
              </w:rPr>
              <w:t>Es</w:t>
            </w:r>
            <w:r>
              <w:rPr>
                <w:bCs/>
                <w:color w:val="auto"/>
                <w:sz w:val="20"/>
                <w:szCs w:val="20"/>
              </w:rPr>
              <w:t>p</w:t>
            </w:r>
            <w:r w:rsidRPr="004E3ECD">
              <w:rPr>
                <w:bCs/>
                <w:color w:val="auto"/>
                <w:sz w:val="20"/>
                <w:szCs w:val="20"/>
              </w:rPr>
              <w:t>erienza e professionalità degli archivisti che saranno adibit</w:t>
            </w:r>
            <w:r>
              <w:rPr>
                <w:bCs/>
                <w:color w:val="auto"/>
                <w:sz w:val="20"/>
                <w:szCs w:val="20"/>
              </w:rPr>
              <w:t>i</w:t>
            </w:r>
            <w:r w:rsidRPr="004E3ECD">
              <w:rPr>
                <w:bCs/>
                <w:color w:val="auto"/>
                <w:sz w:val="20"/>
                <w:szCs w:val="20"/>
              </w:rPr>
              <w:t xml:space="preserve"> al present</w:t>
            </w:r>
            <w:r>
              <w:rPr>
                <w:bCs/>
                <w:color w:val="auto"/>
                <w:sz w:val="20"/>
                <w:szCs w:val="20"/>
              </w:rPr>
              <w:t>e appalto (</w:t>
            </w:r>
            <w:r w:rsidRPr="004E3ECD">
              <w:rPr>
                <w:bCs/>
                <w:i/>
                <w:color w:val="auto"/>
                <w:sz w:val="18"/>
                <w:szCs w:val="18"/>
              </w:rPr>
              <w:t>verranno valutati i titoli posseduti per il primo</w:t>
            </w:r>
            <w:r>
              <w:rPr>
                <w:bCs/>
                <w:i/>
                <w:color w:val="auto"/>
                <w:sz w:val="18"/>
                <w:szCs w:val="18"/>
              </w:rPr>
              <w:t xml:space="preserve"> archivista in aggiunta ai tito</w:t>
            </w:r>
            <w:r w:rsidRPr="004E3ECD">
              <w:rPr>
                <w:bCs/>
                <w:i/>
                <w:color w:val="auto"/>
                <w:sz w:val="18"/>
                <w:szCs w:val="18"/>
              </w:rPr>
              <w:t xml:space="preserve">li di studio di cui all’art. </w:t>
            </w:r>
            <w:proofErr w:type="spellStart"/>
            <w:r w:rsidRPr="004E3ECD">
              <w:rPr>
                <w:bCs/>
                <w:i/>
                <w:color w:val="auto"/>
                <w:sz w:val="18"/>
                <w:szCs w:val="18"/>
              </w:rPr>
              <w:t>XX</w:t>
            </w:r>
            <w:proofErr w:type="spellEnd"/>
            <w:r w:rsidRPr="004E3ECD">
              <w:rPr>
                <w:bCs/>
                <w:i/>
                <w:color w:val="auto"/>
                <w:sz w:val="18"/>
                <w:szCs w:val="18"/>
              </w:rPr>
              <w:t xml:space="preserve"> del Capitolato </w:t>
            </w:r>
            <w:proofErr w:type="spellStart"/>
            <w:r w:rsidRPr="004E3ECD">
              <w:rPr>
                <w:bCs/>
                <w:i/>
                <w:color w:val="auto"/>
                <w:sz w:val="18"/>
                <w:szCs w:val="18"/>
              </w:rPr>
              <w:t>nonche</w:t>
            </w:r>
            <w:proofErr w:type="spellEnd"/>
            <w:r w:rsidRPr="004E3ECD">
              <w:rPr>
                <w:bCs/>
                <w:i/>
                <w:color w:val="auto"/>
                <w:sz w:val="18"/>
                <w:szCs w:val="18"/>
              </w:rPr>
              <w:t xml:space="preserve"> i titoli posseduti dal</w:t>
            </w:r>
            <w:r>
              <w:rPr>
                <w:bCs/>
                <w:i/>
                <w:color w:val="auto"/>
                <w:sz w:val="18"/>
                <w:szCs w:val="18"/>
              </w:rPr>
              <w:t>le altre figure che saranno adib</w:t>
            </w:r>
            <w:r w:rsidRPr="004E3ECD">
              <w:rPr>
                <w:bCs/>
                <w:i/>
                <w:color w:val="auto"/>
                <w:sz w:val="18"/>
                <w:szCs w:val="18"/>
              </w:rPr>
              <w:t>ite al servizio</w:t>
            </w:r>
            <w:r w:rsidRPr="004E3ECD">
              <w:rPr>
                <w:bCs/>
                <w:color w:val="auto"/>
                <w:sz w:val="20"/>
                <w:szCs w:val="20"/>
              </w:rPr>
              <w:t>)</w:t>
            </w:r>
          </w:p>
          <w:p w:rsidR="004E3ECD" w:rsidRPr="004E3ECD" w:rsidRDefault="004E3ECD" w:rsidP="004E3ECD">
            <w:pPr>
              <w:pStyle w:val="Default"/>
              <w:numPr>
                <w:ilvl w:val="0"/>
                <w:numId w:val="2"/>
              </w:numPr>
              <w:spacing w:line="360" w:lineRule="auto"/>
              <w:jc w:val="both"/>
              <w:rPr>
                <w:b/>
                <w:bCs/>
                <w:color w:val="auto"/>
                <w:sz w:val="20"/>
                <w:szCs w:val="20"/>
              </w:rPr>
            </w:pPr>
            <w:r w:rsidRPr="004E3ECD">
              <w:rPr>
                <w:bCs/>
                <w:color w:val="auto"/>
                <w:sz w:val="20"/>
                <w:szCs w:val="20"/>
              </w:rPr>
              <w:t>Tipologia di coordinamento organizzativo</w:t>
            </w:r>
            <w:r w:rsidRPr="004E3ECD">
              <w:rPr>
                <w:b/>
                <w:bCs/>
                <w:color w:val="auto"/>
                <w:sz w:val="20"/>
                <w:szCs w:val="20"/>
              </w:rPr>
              <w:t xml:space="preserve"> </w:t>
            </w:r>
          </w:p>
        </w:tc>
        <w:tc>
          <w:tcPr>
            <w:tcW w:w="1590" w:type="dxa"/>
          </w:tcPr>
          <w:p w:rsidR="004E3ECD" w:rsidRPr="00327FA0" w:rsidRDefault="00327FA0" w:rsidP="00590D46">
            <w:pPr>
              <w:pStyle w:val="Default"/>
              <w:spacing w:line="360" w:lineRule="auto"/>
              <w:jc w:val="both"/>
              <w:rPr>
                <w:b/>
                <w:bCs/>
                <w:color w:val="auto"/>
                <w:sz w:val="20"/>
                <w:szCs w:val="20"/>
              </w:rPr>
            </w:pPr>
            <w:r w:rsidRPr="00327FA0">
              <w:rPr>
                <w:b/>
                <w:bCs/>
                <w:color w:val="auto"/>
                <w:sz w:val="20"/>
                <w:szCs w:val="20"/>
              </w:rPr>
              <w:t>20</w:t>
            </w:r>
          </w:p>
          <w:p w:rsidR="00327FA0" w:rsidRPr="00327FA0" w:rsidRDefault="00327FA0" w:rsidP="00590D46">
            <w:pPr>
              <w:pStyle w:val="Default"/>
              <w:spacing w:line="360" w:lineRule="auto"/>
              <w:jc w:val="both"/>
              <w:rPr>
                <w:bCs/>
                <w:color w:val="auto"/>
                <w:sz w:val="20"/>
                <w:szCs w:val="20"/>
              </w:rPr>
            </w:pPr>
            <w:r w:rsidRPr="00327FA0">
              <w:rPr>
                <w:bCs/>
                <w:color w:val="auto"/>
                <w:sz w:val="20"/>
                <w:szCs w:val="20"/>
              </w:rPr>
              <w:t>8</w:t>
            </w:r>
          </w:p>
          <w:p w:rsidR="00327FA0" w:rsidRPr="00327FA0" w:rsidRDefault="00327FA0" w:rsidP="00590D46">
            <w:pPr>
              <w:pStyle w:val="Default"/>
              <w:spacing w:line="360" w:lineRule="auto"/>
              <w:jc w:val="both"/>
              <w:rPr>
                <w:bCs/>
                <w:color w:val="auto"/>
                <w:sz w:val="20"/>
                <w:szCs w:val="20"/>
              </w:rPr>
            </w:pPr>
            <w:r w:rsidRPr="00327FA0">
              <w:rPr>
                <w:bCs/>
                <w:color w:val="auto"/>
                <w:sz w:val="20"/>
                <w:szCs w:val="20"/>
              </w:rPr>
              <w:t>10</w:t>
            </w:r>
          </w:p>
          <w:p w:rsidR="00327FA0" w:rsidRDefault="00327FA0" w:rsidP="00590D46">
            <w:pPr>
              <w:pStyle w:val="Default"/>
              <w:spacing w:line="360" w:lineRule="auto"/>
              <w:jc w:val="both"/>
              <w:rPr>
                <w:b/>
                <w:bCs/>
                <w:color w:val="auto"/>
              </w:rPr>
            </w:pPr>
          </w:p>
          <w:p w:rsidR="00327FA0" w:rsidRDefault="00327FA0" w:rsidP="00590D46">
            <w:pPr>
              <w:pStyle w:val="Default"/>
              <w:spacing w:line="360" w:lineRule="auto"/>
              <w:jc w:val="both"/>
              <w:rPr>
                <w:b/>
                <w:bCs/>
                <w:color w:val="auto"/>
              </w:rPr>
            </w:pPr>
          </w:p>
          <w:p w:rsidR="00327FA0" w:rsidRPr="00327FA0" w:rsidRDefault="00327FA0" w:rsidP="00590D46">
            <w:pPr>
              <w:pStyle w:val="Default"/>
              <w:spacing w:line="360" w:lineRule="auto"/>
              <w:jc w:val="both"/>
              <w:rPr>
                <w:bCs/>
                <w:color w:val="auto"/>
                <w:sz w:val="20"/>
                <w:szCs w:val="20"/>
              </w:rPr>
            </w:pPr>
            <w:r w:rsidRPr="00327FA0">
              <w:rPr>
                <w:bCs/>
                <w:color w:val="auto"/>
                <w:sz w:val="20"/>
                <w:szCs w:val="20"/>
              </w:rPr>
              <w:t>2</w:t>
            </w:r>
          </w:p>
        </w:tc>
      </w:tr>
      <w:tr w:rsidR="004E3ECD" w:rsidTr="004E3ECD">
        <w:tc>
          <w:tcPr>
            <w:tcW w:w="959" w:type="dxa"/>
          </w:tcPr>
          <w:p w:rsidR="004E3ECD" w:rsidRPr="00D6723B" w:rsidRDefault="004E3ECD" w:rsidP="00590D46">
            <w:pPr>
              <w:pStyle w:val="Default"/>
              <w:spacing w:line="360" w:lineRule="auto"/>
              <w:jc w:val="both"/>
              <w:rPr>
                <w:b/>
                <w:bCs/>
                <w:color w:val="auto"/>
                <w:sz w:val="20"/>
                <w:szCs w:val="20"/>
              </w:rPr>
            </w:pPr>
            <w:r w:rsidRPr="00D6723B">
              <w:rPr>
                <w:b/>
                <w:bCs/>
                <w:color w:val="auto"/>
                <w:sz w:val="20"/>
                <w:szCs w:val="20"/>
              </w:rPr>
              <w:t>C</w:t>
            </w:r>
          </w:p>
        </w:tc>
        <w:tc>
          <w:tcPr>
            <w:tcW w:w="7229" w:type="dxa"/>
          </w:tcPr>
          <w:p w:rsidR="004E3ECD" w:rsidRPr="00D6723B" w:rsidRDefault="004E3ECD" w:rsidP="004E3ECD">
            <w:pPr>
              <w:pStyle w:val="Default"/>
              <w:spacing w:line="360" w:lineRule="auto"/>
              <w:jc w:val="both"/>
              <w:rPr>
                <w:b/>
                <w:bCs/>
                <w:color w:val="auto"/>
                <w:sz w:val="20"/>
                <w:szCs w:val="20"/>
              </w:rPr>
            </w:pPr>
            <w:r w:rsidRPr="00D6723B">
              <w:rPr>
                <w:b/>
                <w:bCs/>
                <w:color w:val="auto"/>
                <w:sz w:val="20"/>
                <w:szCs w:val="20"/>
              </w:rPr>
              <w:t>Sistemi di controllo di qualità di valutazione del servizio</w:t>
            </w:r>
          </w:p>
        </w:tc>
        <w:tc>
          <w:tcPr>
            <w:tcW w:w="1590" w:type="dxa"/>
          </w:tcPr>
          <w:p w:rsidR="004E3ECD" w:rsidRPr="00327FA0" w:rsidRDefault="00327FA0" w:rsidP="00590D46">
            <w:pPr>
              <w:pStyle w:val="Default"/>
              <w:spacing w:line="360" w:lineRule="auto"/>
              <w:jc w:val="both"/>
              <w:rPr>
                <w:b/>
                <w:bCs/>
                <w:color w:val="auto"/>
                <w:sz w:val="20"/>
                <w:szCs w:val="20"/>
              </w:rPr>
            </w:pPr>
            <w:r w:rsidRPr="00327FA0">
              <w:rPr>
                <w:b/>
                <w:bCs/>
                <w:color w:val="auto"/>
                <w:sz w:val="20"/>
                <w:szCs w:val="20"/>
              </w:rPr>
              <w:t>5</w:t>
            </w:r>
          </w:p>
        </w:tc>
      </w:tr>
      <w:tr w:rsidR="004E3ECD" w:rsidTr="004E3ECD">
        <w:tc>
          <w:tcPr>
            <w:tcW w:w="959" w:type="dxa"/>
          </w:tcPr>
          <w:p w:rsidR="004E3ECD" w:rsidRPr="00D6723B" w:rsidRDefault="004E3ECD" w:rsidP="00590D46">
            <w:pPr>
              <w:pStyle w:val="Default"/>
              <w:spacing w:line="360" w:lineRule="auto"/>
              <w:jc w:val="both"/>
              <w:rPr>
                <w:b/>
                <w:bCs/>
                <w:color w:val="auto"/>
                <w:sz w:val="20"/>
                <w:szCs w:val="20"/>
              </w:rPr>
            </w:pPr>
            <w:r w:rsidRPr="00D6723B">
              <w:rPr>
                <w:b/>
                <w:bCs/>
                <w:color w:val="auto"/>
                <w:sz w:val="20"/>
                <w:szCs w:val="20"/>
              </w:rPr>
              <w:t>D</w:t>
            </w:r>
          </w:p>
        </w:tc>
        <w:tc>
          <w:tcPr>
            <w:tcW w:w="7229" w:type="dxa"/>
          </w:tcPr>
          <w:p w:rsidR="004E3ECD" w:rsidRPr="00D6723B" w:rsidRDefault="004E3ECD" w:rsidP="00590D46">
            <w:pPr>
              <w:pStyle w:val="Default"/>
              <w:spacing w:line="360" w:lineRule="auto"/>
              <w:jc w:val="both"/>
              <w:rPr>
                <w:b/>
                <w:bCs/>
                <w:color w:val="auto"/>
                <w:sz w:val="20"/>
                <w:szCs w:val="20"/>
              </w:rPr>
            </w:pPr>
            <w:r w:rsidRPr="00D6723B">
              <w:rPr>
                <w:b/>
                <w:bCs/>
                <w:color w:val="auto"/>
                <w:sz w:val="20"/>
                <w:szCs w:val="20"/>
              </w:rPr>
              <w:t>Proposte migliorative aggiuntive senza oneri per l’amministrazione</w:t>
            </w:r>
          </w:p>
        </w:tc>
        <w:tc>
          <w:tcPr>
            <w:tcW w:w="1590" w:type="dxa"/>
          </w:tcPr>
          <w:p w:rsidR="004E3ECD" w:rsidRPr="00327FA0" w:rsidRDefault="00327FA0" w:rsidP="00590D46">
            <w:pPr>
              <w:pStyle w:val="Default"/>
              <w:spacing w:line="360" w:lineRule="auto"/>
              <w:jc w:val="both"/>
              <w:rPr>
                <w:b/>
                <w:bCs/>
                <w:color w:val="auto"/>
                <w:sz w:val="20"/>
                <w:szCs w:val="20"/>
              </w:rPr>
            </w:pPr>
            <w:r w:rsidRPr="00327FA0">
              <w:rPr>
                <w:b/>
                <w:bCs/>
                <w:color w:val="auto"/>
                <w:sz w:val="20"/>
                <w:szCs w:val="20"/>
              </w:rPr>
              <w:t>10</w:t>
            </w:r>
          </w:p>
        </w:tc>
      </w:tr>
    </w:tbl>
    <w:p w:rsidR="002E47B7" w:rsidRDefault="002E47B7" w:rsidP="00590D46">
      <w:pPr>
        <w:pStyle w:val="Default"/>
        <w:spacing w:line="360" w:lineRule="auto"/>
        <w:jc w:val="both"/>
        <w:rPr>
          <w:b/>
          <w:bCs/>
          <w:color w:val="auto"/>
        </w:rPr>
      </w:pPr>
    </w:p>
    <w:p w:rsidR="004E3ECD" w:rsidRPr="006D2D15" w:rsidRDefault="006D2D15" w:rsidP="00590D46">
      <w:pPr>
        <w:pStyle w:val="Default"/>
        <w:spacing w:line="360" w:lineRule="auto"/>
        <w:jc w:val="both"/>
      </w:pPr>
      <w:r w:rsidRPr="006D2D15">
        <w:t>Per la valutazione e l’attribuzione dei punteggi dei sottocriteri di cui sopra saranno utilizzati i seguenti coefficienti, commisurati al gradimento espresso per l’offerta in esame entro i limiti esposti nella seguente tabella:</w:t>
      </w:r>
    </w:p>
    <w:tbl>
      <w:tblPr>
        <w:tblStyle w:val="Grigliatabella"/>
        <w:tblW w:w="0" w:type="auto"/>
        <w:tblLook w:val="04A0"/>
      </w:tblPr>
      <w:tblGrid>
        <w:gridCol w:w="2235"/>
        <w:gridCol w:w="2835"/>
        <w:gridCol w:w="4708"/>
      </w:tblGrid>
      <w:tr w:rsidR="006D2D15" w:rsidTr="006D2D15">
        <w:tc>
          <w:tcPr>
            <w:tcW w:w="2235" w:type="dxa"/>
          </w:tcPr>
          <w:p w:rsidR="006D2D15" w:rsidRDefault="006D2D15" w:rsidP="006D2D15">
            <w:pPr>
              <w:pStyle w:val="Default"/>
              <w:jc w:val="both"/>
              <w:rPr>
                <w:b/>
                <w:bCs/>
                <w:color w:val="auto"/>
              </w:rPr>
            </w:pPr>
            <w:r>
              <w:rPr>
                <w:b/>
                <w:bCs/>
                <w:sz w:val="20"/>
                <w:szCs w:val="20"/>
              </w:rPr>
              <w:lastRenderedPageBreak/>
              <w:t xml:space="preserve">Coefficiente </w:t>
            </w:r>
          </w:p>
        </w:tc>
        <w:tc>
          <w:tcPr>
            <w:tcW w:w="2835" w:type="dxa"/>
          </w:tcPr>
          <w:p w:rsidR="006D2D15" w:rsidRPr="006D2D15" w:rsidRDefault="006D2D15" w:rsidP="00590D46">
            <w:pPr>
              <w:pStyle w:val="Default"/>
              <w:spacing w:line="360" w:lineRule="auto"/>
              <w:jc w:val="both"/>
              <w:rPr>
                <w:b/>
                <w:bCs/>
                <w:color w:val="auto"/>
                <w:sz w:val="20"/>
                <w:szCs w:val="20"/>
              </w:rPr>
            </w:pPr>
            <w:r w:rsidRPr="006D2D15">
              <w:rPr>
                <w:b/>
                <w:bCs/>
                <w:color w:val="auto"/>
                <w:sz w:val="20"/>
                <w:szCs w:val="20"/>
              </w:rPr>
              <w:t>Giudizio</w:t>
            </w:r>
          </w:p>
        </w:tc>
        <w:tc>
          <w:tcPr>
            <w:tcW w:w="4708" w:type="dxa"/>
          </w:tcPr>
          <w:p w:rsidR="006D2D15" w:rsidRDefault="006D2D15" w:rsidP="00590D46">
            <w:pPr>
              <w:pStyle w:val="Default"/>
              <w:spacing w:line="360" w:lineRule="auto"/>
              <w:jc w:val="both"/>
              <w:rPr>
                <w:b/>
                <w:bCs/>
                <w:color w:val="auto"/>
              </w:rPr>
            </w:pPr>
            <w:r>
              <w:rPr>
                <w:b/>
                <w:bCs/>
                <w:color w:val="auto"/>
              </w:rPr>
              <w:t>Spiegazione</w:t>
            </w:r>
          </w:p>
        </w:tc>
      </w:tr>
      <w:tr w:rsidR="006D2D15" w:rsidTr="006D2D15">
        <w:tc>
          <w:tcPr>
            <w:tcW w:w="2235" w:type="dxa"/>
          </w:tcPr>
          <w:p w:rsidR="006D2D15" w:rsidRDefault="006D2D15" w:rsidP="006D2D15">
            <w:pPr>
              <w:pStyle w:val="Default"/>
              <w:jc w:val="both"/>
              <w:rPr>
                <w:sz w:val="20"/>
                <w:szCs w:val="20"/>
              </w:rPr>
            </w:pPr>
            <w:r>
              <w:rPr>
                <w:sz w:val="20"/>
                <w:szCs w:val="20"/>
              </w:rPr>
              <w:t xml:space="preserve">da 0.86 a 1.00 </w:t>
            </w:r>
          </w:p>
          <w:p w:rsidR="006D2D15" w:rsidRDefault="006D2D15" w:rsidP="00590D46">
            <w:pPr>
              <w:pStyle w:val="Default"/>
              <w:spacing w:line="360" w:lineRule="auto"/>
              <w:jc w:val="both"/>
              <w:rPr>
                <w:b/>
                <w:bCs/>
                <w:color w:val="auto"/>
              </w:rPr>
            </w:pPr>
          </w:p>
        </w:tc>
        <w:tc>
          <w:tcPr>
            <w:tcW w:w="2835" w:type="dxa"/>
          </w:tcPr>
          <w:p w:rsidR="006D2D15" w:rsidRPr="006D2D15" w:rsidRDefault="006D2D15" w:rsidP="00590D46">
            <w:pPr>
              <w:pStyle w:val="Default"/>
              <w:spacing w:line="360" w:lineRule="auto"/>
              <w:jc w:val="both"/>
              <w:rPr>
                <w:b/>
                <w:bCs/>
                <w:color w:val="auto"/>
                <w:sz w:val="20"/>
                <w:szCs w:val="20"/>
              </w:rPr>
            </w:pPr>
            <w:r w:rsidRPr="006D2D15">
              <w:rPr>
                <w:b/>
                <w:bCs/>
                <w:color w:val="auto"/>
                <w:sz w:val="20"/>
                <w:szCs w:val="20"/>
              </w:rPr>
              <w:t>Ottimo</w:t>
            </w:r>
          </w:p>
        </w:tc>
        <w:tc>
          <w:tcPr>
            <w:tcW w:w="4708" w:type="dxa"/>
          </w:tcPr>
          <w:p w:rsidR="006D2D15" w:rsidRPr="006D2D15" w:rsidRDefault="006D2D15" w:rsidP="006D2D15">
            <w:pPr>
              <w:pStyle w:val="Default"/>
              <w:jc w:val="both"/>
              <w:rPr>
                <w:b/>
                <w:bCs/>
                <w:color w:val="auto"/>
                <w:sz w:val="18"/>
                <w:szCs w:val="18"/>
              </w:rPr>
            </w:pPr>
            <w:r w:rsidRPr="006D2D15">
              <w:rPr>
                <w:sz w:val="18"/>
                <w:szCs w:val="18"/>
              </w:rPr>
              <w:t xml:space="preserve">La soluzione proposta è perfettamente rispondente alla richiesta, presenta un’elevata articolazione e contempla elementi tecnici o organizzativi innovativi con caratteri di originalità </w:t>
            </w:r>
          </w:p>
        </w:tc>
      </w:tr>
      <w:tr w:rsidR="006D2D15" w:rsidTr="006D2D15">
        <w:tc>
          <w:tcPr>
            <w:tcW w:w="2235" w:type="dxa"/>
          </w:tcPr>
          <w:p w:rsidR="006D2D15" w:rsidRDefault="006D2D15" w:rsidP="006D2D15">
            <w:pPr>
              <w:pStyle w:val="Default"/>
              <w:jc w:val="both"/>
              <w:rPr>
                <w:sz w:val="20"/>
                <w:szCs w:val="20"/>
              </w:rPr>
            </w:pPr>
            <w:r>
              <w:rPr>
                <w:sz w:val="20"/>
                <w:szCs w:val="20"/>
              </w:rPr>
              <w:t xml:space="preserve">da 0.71 a 0.85 </w:t>
            </w:r>
          </w:p>
          <w:p w:rsidR="006D2D15" w:rsidRDefault="006D2D15" w:rsidP="00590D46">
            <w:pPr>
              <w:pStyle w:val="Default"/>
              <w:spacing w:line="360" w:lineRule="auto"/>
              <w:jc w:val="both"/>
              <w:rPr>
                <w:b/>
                <w:bCs/>
                <w:color w:val="auto"/>
              </w:rPr>
            </w:pPr>
          </w:p>
        </w:tc>
        <w:tc>
          <w:tcPr>
            <w:tcW w:w="2835" w:type="dxa"/>
          </w:tcPr>
          <w:p w:rsidR="006D2D15" w:rsidRPr="006D2D15" w:rsidRDefault="006D2D15" w:rsidP="00590D46">
            <w:pPr>
              <w:pStyle w:val="Default"/>
              <w:spacing w:line="360" w:lineRule="auto"/>
              <w:jc w:val="both"/>
              <w:rPr>
                <w:b/>
                <w:bCs/>
                <w:color w:val="auto"/>
                <w:sz w:val="20"/>
                <w:szCs w:val="20"/>
              </w:rPr>
            </w:pPr>
            <w:r w:rsidRPr="006D2D15">
              <w:rPr>
                <w:b/>
                <w:bCs/>
                <w:color w:val="auto"/>
                <w:sz w:val="20"/>
                <w:szCs w:val="20"/>
              </w:rPr>
              <w:t>Buono</w:t>
            </w:r>
          </w:p>
        </w:tc>
        <w:tc>
          <w:tcPr>
            <w:tcW w:w="4708" w:type="dxa"/>
          </w:tcPr>
          <w:p w:rsidR="006D2D15" w:rsidRPr="006D2D15" w:rsidRDefault="006D2D15" w:rsidP="006D2D15">
            <w:pPr>
              <w:pStyle w:val="Default"/>
              <w:jc w:val="both"/>
              <w:rPr>
                <w:b/>
                <w:bCs/>
                <w:color w:val="auto"/>
                <w:sz w:val="18"/>
                <w:szCs w:val="18"/>
              </w:rPr>
            </w:pPr>
            <w:r w:rsidRPr="006D2D15">
              <w:rPr>
                <w:sz w:val="18"/>
                <w:szCs w:val="18"/>
              </w:rPr>
              <w:t>La soluzione proposta è ben rispondente alla richiesta e si conforma in maniera più che adeguata ai requisiti del capitolato</w:t>
            </w:r>
          </w:p>
        </w:tc>
      </w:tr>
      <w:tr w:rsidR="006D2D15" w:rsidTr="006D2D15">
        <w:tc>
          <w:tcPr>
            <w:tcW w:w="2235" w:type="dxa"/>
          </w:tcPr>
          <w:p w:rsidR="006D2D15" w:rsidRDefault="006D2D15" w:rsidP="006D2D15">
            <w:pPr>
              <w:pStyle w:val="Default"/>
              <w:jc w:val="both"/>
              <w:rPr>
                <w:sz w:val="20"/>
                <w:szCs w:val="20"/>
              </w:rPr>
            </w:pPr>
            <w:r>
              <w:rPr>
                <w:sz w:val="20"/>
                <w:szCs w:val="20"/>
              </w:rPr>
              <w:t xml:space="preserve">da 0.51 a 0.70 </w:t>
            </w:r>
          </w:p>
          <w:p w:rsidR="006D2D15" w:rsidRDefault="006D2D15" w:rsidP="00590D46">
            <w:pPr>
              <w:pStyle w:val="Default"/>
              <w:spacing w:line="360" w:lineRule="auto"/>
              <w:jc w:val="both"/>
              <w:rPr>
                <w:b/>
                <w:bCs/>
                <w:color w:val="auto"/>
              </w:rPr>
            </w:pPr>
          </w:p>
        </w:tc>
        <w:tc>
          <w:tcPr>
            <w:tcW w:w="2835" w:type="dxa"/>
          </w:tcPr>
          <w:p w:rsidR="006D2D15" w:rsidRPr="006D2D15" w:rsidRDefault="006D2D15" w:rsidP="00590D46">
            <w:pPr>
              <w:pStyle w:val="Default"/>
              <w:spacing w:line="360" w:lineRule="auto"/>
              <w:jc w:val="both"/>
              <w:rPr>
                <w:b/>
                <w:bCs/>
                <w:color w:val="auto"/>
                <w:sz w:val="20"/>
                <w:szCs w:val="20"/>
              </w:rPr>
            </w:pPr>
            <w:r w:rsidRPr="006D2D15">
              <w:rPr>
                <w:b/>
                <w:bCs/>
                <w:color w:val="auto"/>
                <w:sz w:val="20"/>
                <w:szCs w:val="20"/>
              </w:rPr>
              <w:t>Sufficiente</w:t>
            </w:r>
          </w:p>
        </w:tc>
        <w:tc>
          <w:tcPr>
            <w:tcW w:w="4708" w:type="dxa"/>
          </w:tcPr>
          <w:p w:rsidR="006D2D15" w:rsidRPr="006D2D15" w:rsidRDefault="006D2D15" w:rsidP="006D2D15">
            <w:pPr>
              <w:pStyle w:val="Default"/>
              <w:jc w:val="both"/>
              <w:rPr>
                <w:b/>
                <w:bCs/>
                <w:color w:val="auto"/>
                <w:sz w:val="18"/>
                <w:szCs w:val="18"/>
              </w:rPr>
            </w:pPr>
            <w:r w:rsidRPr="006D2D15">
              <w:rPr>
                <w:sz w:val="18"/>
                <w:szCs w:val="18"/>
              </w:rPr>
              <w:t xml:space="preserve">La soluzione proposta è idonea al soddisfacimento delle basilari esigenze della stazione appaltante </w:t>
            </w:r>
          </w:p>
        </w:tc>
      </w:tr>
      <w:tr w:rsidR="006D2D15" w:rsidTr="006D2D15">
        <w:tc>
          <w:tcPr>
            <w:tcW w:w="2235" w:type="dxa"/>
          </w:tcPr>
          <w:p w:rsidR="006D2D15" w:rsidRDefault="006D2D15" w:rsidP="006D2D15">
            <w:pPr>
              <w:pStyle w:val="Default"/>
              <w:jc w:val="both"/>
              <w:rPr>
                <w:sz w:val="20"/>
                <w:szCs w:val="20"/>
              </w:rPr>
            </w:pPr>
            <w:r>
              <w:rPr>
                <w:sz w:val="20"/>
                <w:szCs w:val="20"/>
              </w:rPr>
              <w:t xml:space="preserve">da 0.21 a 0.50 </w:t>
            </w:r>
          </w:p>
          <w:p w:rsidR="006D2D15" w:rsidRDefault="006D2D15" w:rsidP="00590D46">
            <w:pPr>
              <w:pStyle w:val="Default"/>
              <w:spacing w:line="360" w:lineRule="auto"/>
              <w:jc w:val="both"/>
              <w:rPr>
                <w:b/>
                <w:bCs/>
                <w:color w:val="auto"/>
              </w:rPr>
            </w:pPr>
          </w:p>
        </w:tc>
        <w:tc>
          <w:tcPr>
            <w:tcW w:w="2835" w:type="dxa"/>
          </w:tcPr>
          <w:p w:rsidR="006D2D15" w:rsidRPr="006D2D15" w:rsidRDefault="006D2D15" w:rsidP="00590D46">
            <w:pPr>
              <w:pStyle w:val="Default"/>
              <w:spacing w:line="360" w:lineRule="auto"/>
              <w:jc w:val="both"/>
              <w:rPr>
                <w:b/>
                <w:bCs/>
                <w:color w:val="auto"/>
                <w:sz w:val="20"/>
                <w:szCs w:val="20"/>
              </w:rPr>
            </w:pPr>
            <w:r w:rsidRPr="006D2D15">
              <w:rPr>
                <w:b/>
                <w:bCs/>
                <w:color w:val="auto"/>
                <w:sz w:val="20"/>
                <w:szCs w:val="20"/>
              </w:rPr>
              <w:t>Scarso</w:t>
            </w:r>
          </w:p>
        </w:tc>
        <w:tc>
          <w:tcPr>
            <w:tcW w:w="4708" w:type="dxa"/>
          </w:tcPr>
          <w:p w:rsidR="006D2D15" w:rsidRPr="006D2D15" w:rsidRDefault="006D2D15" w:rsidP="006D2D15">
            <w:pPr>
              <w:pStyle w:val="Default"/>
              <w:jc w:val="both"/>
              <w:rPr>
                <w:b/>
                <w:bCs/>
                <w:color w:val="auto"/>
                <w:sz w:val="18"/>
                <w:szCs w:val="18"/>
              </w:rPr>
            </w:pPr>
            <w:r w:rsidRPr="006D2D15">
              <w:rPr>
                <w:sz w:val="18"/>
                <w:szCs w:val="18"/>
              </w:rPr>
              <w:t xml:space="preserve">La soluzione proposta è carente in uno o più elementi previsti dal capitolato </w:t>
            </w:r>
          </w:p>
        </w:tc>
      </w:tr>
      <w:tr w:rsidR="006D2D15" w:rsidTr="006D2D15">
        <w:tc>
          <w:tcPr>
            <w:tcW w:w="2235" w:type="dxa"/>
          </w:tcPr>
          <w:p w:rsidR="006D2D15" w:rsidRDefault="006D2D15" w:rsidP="006D2D15">
            <w:pPr>
              <w:pStyle w:val="Default"/>
              <w:jc w:val="both"/>
              <w:rPr>
                <w:sz w:val="20"/>
                <w:szCs w:val="20"/>
              </w:rPr>
            </w:pPr>
            <w:r>
              <w:rPr>
                <w:sz w:val="20"/>
                <w:szCs w:val="20"/>
              </w:rPr>
              <w:t xml:space="preserve">da 0.00 a 0.20 </w:t>
            </w:r>
          </w:p>
          <w:p w:rsidR="006D2D15" w:rsidRDefault="006D2D15" w:rsidP="00590D46">
            <w:pPr>
              <w:pStyle w:val="Default"/>
              <w:spacing w:line="360" w:lineRule="auto"/>
              <w:jc w:val="both"/>
              <w:rPr>
                <w:b/>
                <w:bCs/>
                <w:color w:val="auto"/>
              </w:rPr>
            </w:pPr>
          </w:p>
        </w:tc>
        <w:tc>
          <w:tcPr>
            <w:tcW w:w="2835" w:type="dxa"/>
          </w:tcPr>
          <w:p w:rsidR="006D2D15" w:rsidRPr="006D2D15" w:rsidRDefault="006D2D15" w:rsidP="00590D46">
            <w:pPr>
              <w:pStyle w:val="Default"/>
              <w:spacing w:line="360" w:lineRule="auto"/>
              <w:jc w:val="both"/>
              <w:rPr>
                <w:b/>
                <w:bCs/>
                <w:color w:val="auto"/>
                <w:sz w:val="20"/>
                <w:szCs w:val="20"/>
              </w:rPr>
            </w:pPr>
            <w:r w:rsidRPr="006D2D15">
              <w:rPr>
                <w:b/>
                <w:bCs/>
                <w:color w:val="auto"/>
                <w:sz w:val="20"/>
                <w:szCs w:val="20"/>
              </w:rPr>
              <w:t>Inadeguato</w:t>
            </w:r>
          </w:p>
        </w:tc>
        <w:tc>
          <w:tcPr>
            <w:tcW w:w="4708" w:type="dxa"/>
          </w:tcPr>
          <w:p w:rsidR="006D2D15" w:rsidRPr="006D2D15" w:rsidRDefault="006D2D15" w:rsidP="006D2D15">
            <w:pPr>
              <w:pStyle w:val="Default"/>
              <w:jc w:val="both"/>
              <w:rPr>
                <w:b/>
                <w:bCs/>
                <w:color w:val="auto"/>
                <w:sz w:val="18"/>
                <w:szCs w:val="18"/>
              </w:rPr>
            </w:pPr>
            <w:r w:rsidRPr="006D2D15">
              <w:rPr>
                <w:sz w:val="18"/>
                <w:szCs w:val="18"/>
              </w:rPr>
              <w:t>La soluzione proposta è molto carente in uno o più elementi previsti dal capitolato</w:t>
            </w:r>
          </w:p>
        </w:tc>
      </w:tr>
    </w:tbl>
    <w:p w:rsidR="007B452E" w:rsidRPr="007B452E" w:rsidRDefault="007B452E" w:rsidP="007B452E">
      <w:pPr>
        <w:pStyle w:val="Default"/>
        <w:spacing w:line="360" w:lineRule="auto"/>
        <w:jc w:val="both"/>
      </w:pPr>
      <w:r w:rsidRPr="007B452E">
        <w:t xml:space="preserve">Dopo aver attribuito il coefficiente ad ogni elemento di valutazione di ciascuna offerta tecnica presentata si procede a trasformare i coefficienti attribuiti ad ogni offerta in coefficienti definitivi, riportando ad 1 il coefficiente più alto e proporzionando a tale coefficiente massimo i coefficienti provvisori prima calcolati, secondo la seguente formula: </w:t>
      </w:r>
    </w:p>
    <w:p w:rsidR="007B452E" w:rsidRDefault="007B452E" w:rsidP="007B452E">
      <w:pPr>
        <w:pStyle w:val="Default"/>
        <w:spacing w:line="360" w:lineRule="auto"/>
        <w:jc w:val="both"/>
      </w:pPr>
    </w:p>
    <w:p w:rsidR="007B452E" w:rsidRPr="007B452E" w:rsidRDefault="007B452E" w:rsidP="007B452E">
      <w:pPr>
        <w:pStyle w:val="Default"/>
        <w:spacing w:line="360" w:lineRule="auto"/>
        <w:jc w:val="both"/>
      </w:pPr>
      <w:r w:rsidRPr="007B452E">
        <w:t xml:space="preserve">Coefficiente definitivo = Coefficiente assegnato </w:t>
      </w:r>
      <w:r>
        <w:t>/</w:t>
      </w:r>
      <w:r w:rsidRPr="007B452E">
        <w:t xml:space="preserve">Coefficiente </w:t>
      </w:r>
      <w:proofErr w:type="spellStart"/>
      <w:r w:rsidRPr="007B452E">
        <w:t>max</w:t>
      </w:r>
      <w:proofErr w:type="spellEnd"/>
      <w:r w:rsidRPr="007B452E">
        <w:t xml:space="preserve"> attribuito </w:t>
      </w:r>
    </w:p>
    <w:p w:rsidR="007B452E" w:rsidRDefault="007B452E" w:rsidP="007B452E">
      <w:pPr>
        <w:pStyle w:val="Default"/>
        <w:spacing w:line="360" w:lineRule="auto"/>
        <w:jc w:val="both"/>
      </w:pPr>
    </w:p>
    <w:p w:rsidR="007B452E" w:rsidRPr="007B452E" w:rsidRDefault="007B452E" w:rsidP="007B452E">
      <w:pPr>
        <w:pStyle w:val="Default"/>
        <w:spacing w:line="360" w:lineRule="auto"/>
        <w:jc w:val="both"/>
      </w:pPr>
      <w:r w:rsidRPr="007B452E">
        <w:t xml:space="preserve">Si procede poi a moltiplicare ogni coefficiente definitivo per il peso previsto al relativo criterio di valutazione e a sommare, per ogni offerta, i punteggi parziali così ottenuti: </w:t>
      </w:r>
    </w:p>
    <w:p w:rsidR="007B452E" w:rsidRDefault="007B452E" w:rsidP="007B452E">
      <w:pPr>
        <w:pStyle w:val="Default"/>
        <w:spacing w:line="360" w:lineRule="auto"/>
        <w:jc w:val="both"/>
      </w:pPr>
    </w:p>
    <w:p w:rsidR="007B452E" w:rsidRPr="007B452E" w:rsidRDefault="007B452E" w:rsidP="007B452E">
      <w:pPr>
        <w:pStyle w:val="Default"/>
        <w:spacing w:line="360" w:lineRule="auto"/>
        <w:jc w:val="both"/>
      </w:pPr>
      <w:r w:rsidRPr="007B452E">
        <w:t xml:space="preserve">Punteggio Offerta </w:t>
      </w:r>
      <w:proofErr w:type="spellStart"/>
      <w:r w:rsidRPr="007B452E">
        <w:t>Tecnica=</w:t>
      </w:r>
      <w:proofErr w:type="spellEnd"/>
      <w:r w:rsidRPr="007B452E">
        <w:t xml:space="preserve"> n </w:t>
      </w:r>
      <w:r>
        <w:t>*(</w:t>
      </w:r>
      <w:proofErr w:type="spellStart"/>
      <w:r w:rsidRPr="007B452E">
        <w:t>Wi</w:t>
      </w:r>
      <w:proofErr w:type="spellEnd"/>
      <w:r w:rsidRPr="007B452E">
        <w:t xml:space="preserve"> * Vai</w:t>
      </w:r>
      <w:r>
        <w:t>)</w:t>
      </w:r>
      <w:r w:rsidRPr="007B452E">
        <w:t xml:space="preserve"> </w:t>
      </w:r>
    </w:p>
    <w:p w:rsidR="007B452E" w:rsidRPr="007B452E" w:rsidRDefault="007B452E" w:rsidP="007B452E">
      <w:pPr>
        <w:pStyle w:val="Default"/>
        <w:spacing w:line="360" w:lineRule="auto"/>
        <w:jc w:val="both"/>
      </w:pPr>
      <w:r w:rsidRPr="007B452E">
        <w:t xml:space="preserve">n = numero dei criteri di valutazione </w:t>
      </w:r>
    </w:p>
    <w:p w:rsidR="007B452E" w:rsidRPr="007B452E" w:rsidRDefault="007B452E" w:rsidP="007B452E">
      <w:pPr>
        <w:pStyle w:val="Default"/>
        <w:spacing w:line="360" w:lineRule="auto"/>
        <w:jc w:val="both"/>
      </w:pPr>
      <w:proofErr w:type="spellStart"/>
      <w:r w:rsidRPr="007B452E">
        <w:t>Wi</w:t>
      </w:r>
      <w:proofErr w:type="spellEnd"/>
      <w:r w:rsidRPr="007B452E">
        <w:t xml:space="preserve"> = peso o punteggio attribuito al criterio di valutazione </w:t>
      </w:r>
    </w:p>
    <w:p w:rsidR="007B452E" w:rsidRPr="007B452E" w:rsidRDefault="007B452E" w:rsidP="007B452E">
      <w:pPr>
        <w:pStyle w:val="Default"/>
        <w:spacing w:line="360" w:lineRule="auto"/>
        <w:jc w:val="both"/>
      </w:pPr>
      <w:r w:rsidRPr="007B452E">
        <w:t xml:space="preserve">Vai = coefficiente assegnato all’offerta (a) rispetto al requisito (i) variabile tra 0 e 1 già riparametrato </w:t>
      </w:r>
    </w:p>
    <w:p w:rsidR="007B452E" w:rsidRDefault="007B452E" w:rsidP="007B452E">
      <w:pPr>
        <w:pStyle w:val="Default"/>
        <w:spacing w:line="360" w:lineRule="auto"/>
        <w:jc w:val="both"/>
      </w:pPr>
    </w:p>
    <w:p w:rsidR="007B452E" w:rsidRPr="007B452E" w:rsidRDefault="007B452E" w:rsidP="007B452E">
      <w:pPr>
        <w:pStyle w:val="Default"/>
        <w:spacing w:line="360" w:lineRule="auto"/>
        <w:jc w:val="both"/>
      </w:pPr>
      <w:r w:rsidRPr="007B452E">
        <w:t xml:space="preserve">Si precisa che gli offerenti devono obbligatoriamente conseguire un punteggio – soglia minimo pari a 45 su 70. </w:t>
      </w:r>
      <w:r>
        <w:t xml:space="preserve"> </w:t>
      </w:r>
      <w:r w:rsidRPr="007B452E">
        <w:t xml:space="preserve">Qualora tale soglia non venga raggiunta, non si procederà all’apertura dell’offerta economica, con conseguente non ammissione alle successive fasi del procedimento. </w:t>
      </w:r>
    </w:p>
    <w:p w:rsidR="007B452E" w:rsidRDefault="007B452E" w:rsidP="007B452E">
      <w:pPr>
        <w:pStyle w:val="Default"/>
        <w:spacing w:line="360" w:lineRule="auto"/>
        <w:jc w:val="both"/>
        <w:rPr>
          <w:b/>
          <w:bCs/>
          <w:sz w:val="20"/>
          <w:szCs w:val="20"/>
        </w:rPr>
      </w:pPr>
    </w:p>
    <w:p w:rsidR="007B452E" w:rsidRPr="007B452E" w:rsidRDefault="007B452E" w:rsidP="007B452E">
      <w:pPr>
        <w:pStyle w:val="Default"/>
        <w:spacing w:line="360" w:lineRule="auto"/>
        <w:jc w:val="both"/>
      </w:pPr>
      <w:r w:rsidRPr="007B452E">
        <w:t xml:space="preserve">Tutti i punteggi (di valutazione tecnica ed economica) saranno arrotondati alla seconda cifra decimale dopo la virgola che sarà arrotondata all’unità superiore qualora la terza cifra decimale sia pari o superiore a 5. </w:t>
      </w:r>
    </w:p>
    <w:p w:rsidR="007B452E" w:rsidRPr="007B452E" w:rsidRDefault="007B452E" w:rsidP="007B452E">
      <w:pPr>
        <w:pStyle w:val="Default"/>
        <w:spacing w:line="360" w:lineRule="auto"/>
        <w:jc w:val="both"/>
        <w:rPr>
          <w:b/>
          <w:bCs/>
          <w:color w:val="auto"/>
        </w:rPr>
      </w:pPr>
      <w:r w:rsidRPr="007B452E">
        <w:lastRenderedPageBreak/>
        <w:t>Il punteggio totale, per un massimo di 100 punti, sarà costituito dalla somma aritmetica del punteggio dell’offerta tecnica più il punteggio dell’offerta economica. In caso di parità di punteggio globale, verrà privilegiata l’offerta che avrà ottenuto il miglior punteggio nell’offerta tecnica.</w:t>
      </w:r>
    </w:p>
    <w:p w:rsidR="007B452E" w:rsidRDefault="007B452E" w:rsidP="00590D46">
      <w:pPr>
        <w:pStyle w:val="Default"/>
        <w:spacing w:line="360" w:lineRule="auto"/>
        <w:jc w:val="both"/>
        <w:rPr>
          <w:b/>
          <w:bCs/>
          <w:color w:val="auto"/>
        </w:rPr>
      </w:pPr>
    </w:p>
    <w:p w:rsidR="002E47B7" w:rsidRPr="00590D46" w:rsidRDefault="00D0519A" w:rsidP="00590D46">
      <w:pPr>
        <w:pStyle w:val="Default"/>
        <w:spacing w:line="360" w:lineRule="auto"/>
        <w:jc w:val="both"/>
        <w:rPr>
          <w:color w:val="auto"/>
        </w:rPr>
      </w:pPr>
      <w:r>
        <w:rPr>
          <w:b/>
          <w:bCs/>
          <w:color w:val="auto"/>
        </w:rPr>
        <w:t>1</w:t>
      </w:r>
      <w:r w:rsidR="009B2211">
        <w:rPr>
          <w:b/>
          <w:bCs/>
          <w:color w:val="auto"/>
        </w:rPr>
        <w:t>5</w:t>
      </w:r>
      <w:r w:rsidR="002E47B7" w:rsidRPr="00590D46">
        <w:rPr>
          <w:b/>
          <w:bCs/>
          <w:color w:val="auto"/>
        </w:rPr>
        <w:t xml:space="preserve">. GARANZIE </w:t>
      </w:r>
    </w:p>
    <w:p w:rsidR="002E47B7" w:rsidRPr="00590D46" w:rsidRDefault="002E47B7" w:rsidP="00590D46">
      <w:pPr>
        <w:pStyle w:val="Default"/>
        <w:spacing w:line="360" w:lineRule="auto"/>
        <w:jc w:val="both"/>
        <w:rPr>
          <w:color w:val="auto"/>
        </w:rPr>
      </w:pPr>
      <w:r w:rsidRPr="00590D46">
        <w:rPr>
          <w:color w:val="auto"/>
        </w:rPr>
        <w:t xml:space="preserve">Le imprese partecipanti alla procedura di gara dovranno prestare garanzia provvisoria, di validità non inferiore a 180 giorni dalla data di scadenza della presentazione dell'offerta, nelle forme </w:t>
      </w:r>
      <w:r w:rsidR="00913D2C">
        <w:rPr>
          <w:color w:val="auto"/>
        </w:rPr>
        <w:t xml:space="preserve">e nei modi </w:t>
      </w:r>
      <w:r w:rsidRPr="00590D46">
        <w:rPr>
          <w:color w:val="auto"/>
        </w:rPr>
        <w:t>previst</w:t>
      </w:r>
      <w:r w:rsidR="00913D2C">
        <w:rPr>
          <w:color w:val="auto"/>
        </w:rPr>
        <w:t>i</w:t>
      </w:r>
      <w:r w:rsidRPr="00590D46">
        <w:rPr>
          <w:color w:val="auto"/>
        </w:rPr>
        <w:t xml:space="preserve"> dall’art. </w:t>
      </w:r>
      <w:r w:rsidR="00913D2C">
        <w:rPr>
          <w:color w:val="auto"/>
        </w:rPr>
        <w:t>93</w:t>
      </w:r>
      <w:r w:rsidRPr="00590D46">
        <w:rPr>
          <w:color w:val="auto"/>
        </w:rPr>
        <w:t xml:space="preserve"> del D. </w:t>
      </w:r>
      <w:proofErr w:type="spellStart"/>
      <w:r w:rsidRPr="00590D46">
        <w:rPr>
          <w:color w:val="auto"/>
        </w:rPr>
        <w:t>Lgs</w:t>
      </w:r>
      <w:proofErr w:type="spellEnd"/>
      <w:r w:rsidRPr="00590D46">
        <w:rPr>
          <w:color w:val="auto"/>
        </w:rPr>
        <w:t xml:space="preserve">. n. </w:t>
      </w:r>
      <w:r w:rsidR="00913D2C">
        <w:rPr>
          <w:color w:val="auto"/>
        </w:rPr>
        <w:t>50</w:t>
      </w:r>
      <w:r w:rsidRPr="00590D46">
        <w:rPr>
          <w:color w:val="auto"/>
        </w:rPr>
        <w:t>/20</w:t>
      </w:r>
      <w:r w:rsidR="00913D2C">
        <w:rPr>
          <w:color w:val="auto"/>
        </w:rPr>
        <w:t>16</w:t>
      </w:r>
      <w:r w:rsidRPr="00590D46">
        <w:rPr>
          <w:color w:val="auto"/>
        </w:rPr>
        <w:t xml:space="preserve"> per un importo pari al 2% del</w:t>
      </w:r>
      <w:r w:rsidR="00913D2C">
        <w:rPr>
          <w:color w:val="auto"/>
        </w:rPr>
        <w:t xml:space="preserve">l’importo </w:t>
      </w:r>
      <w:r w:rsidR="008A0F23">
        <w:rPr>
          <w:color w:val="auto"/>
        </w:rPr>
        <w:t>posto a base di gara pari a € 113.500,00</w:t>
      </w:r>
      <w:r w:rsidRPr="00590D46">
        <w:rPr>
          <w:color w:val="auto"/>
        </w:rPr>
        <w:t xml:space="preserve">. </w:t>
      </w:r>
    </w:p>
    <w:p w:rsidR="002E47B7" w:rsidRPr="00590D46" w:rsidRDefault="002E47B7" w:rsidP="00590D46">
      <w:pPr>
        <w:pStyle w:val="Default"/>
        <w:spacing w:line="360" w:lineRule="auto"/>
        <w:jc w:val="both"/>
        <w:rPr>
          <w:color w:val="auto"/>
        </w:rPr>
      </w:pPr>
      <w:r w:rsidRPr="00590D46">
        <w:rPr>
          <w:color w:val="auto"/>
        </w:rPr>
        <w:t xml:space="preserve">La suddetta garanzia sarà svincolata entro trenta giorni dall'aggiudicazione, ad eccezione dell'impresa aggiudicataria, nei confronti della quale sarà svincolata a seguito della stipula del contratto e della prestazione della cauzione definitiva. </w:t>
      </w:r>
    </w:p>
    <w:p w:rsidR="002E47B7" w:rsidRPr="00590D46" w:rsidRDefault="002E47B7" w:rsidP="00590D46">
      <w:pPr>
        <w:pStyle w:val="Default"/>
        <w:spacing w:line="360" w:lineRule="auto"/>
        <w:jc w:val="both"/>
        <w:rPr>
          <w:color w:val="auto"/>
        </w:rPr>
      </w:pPr>
      <w:r w:rsidRPr="00590D46">
        <w:rPr>
          <w:color w:val="auto"/>
        </w:rPr>
        <w:t xml:space="preserve">La garanzia deve avere validità non inferiore a 180 giorni dalla data di scadenza per la presentazione dell'offerta, deve prevedere espressamente la rinuncia al beneficio della preventiva escussione del debitore principale, la rinuncia all’eccezione di cui all’art. 1957 comma 2 Cod. civ., nonché l’operatività della garanzia medesima entro 15 giorni a semplice richiesta scritta della stazione appaltante. </w:t>
      </w:r>
    </w:p>
    <w:p w:rsidR="002E47B7" w:rsidRPr="00590D46" w:rsidRDefault="002E47B7" w:rsidP="00590D46">
      <w:pPr>
        <w:pStyle w:val="Default"/>
        <w:spacing w:line="360" w:lineRule="auto"/>
        <w:jc w:val="both"/>
        <w:rPr>
          <w:color w:val="auto"/>
        </w:rPr>
      </w:pPr>
      <w:r w:rsidRPr="00590D46">
        <w:rPr>
          <w:color w:val="auto"/>
        </w:rPr>
        <w:t>L'impresa aggiudicataria è tenuta altresì a costituire una garanzia fideiussoria nella misura e con le modalità previste dall’art. 1</w:t>
      </w:r>
      <w:r w:rsidR="00913D2C">
        <w:rPr>
          <w:color w:val="auto"/>
        </w:rPr>
        <w:t>0</w:t>
      </w:r>
      <w:r w:rsidRPr="00590D46">
        <w:rPr>
          <w:color w:val="auto"/>
        </w:rPr>
        <w:t xml:space="preserve">3 </w:t>
      </w:r>
      <w:proofErr w:type="spellStart"/>
      <w:r w:rsidRPr="00590D46">
        <w:rPr>
          <w:color w:val="auto"/>
        </w:rPr>
        <w:t>D.Lgs.</w:t>
      </w:r>
      <w:proofErr w:type="spellEnd"/>
      <w:r w:rsidRPr="00590D46">
        <w:rPr>
          <w:color w:val="auto"/>
        </w:rPr>
        <w:t xml:space="preserve"> n. </w:t>
      </w:r>
      <w:r w:rsidR="00913D2C">
        <w:rPr>
          <w:color w:val="auto"/>
        </w:rPr>
        <w:t>50</w:t>
      </w:r>
      <w:r w:rsidRPr="00590D46">
        <w:rPr>
          <w:color w:val="auto"/>
        </w:rPr>
        <w:t>/20</w:t>
      </w:r>
      <w:r w:rsidR="00913D2C">
        <w:rPr>
          <w:color w:val="auto"/>
        </w:rPr>
        <w:t>1</w:t>
      </w:r>
      <w:r w:rsidRPr="00590D46">
        <w:rPr>
          <w:color w:val="auto"/>
        </w:rPr>
        <w:t xml:space="preserve">6. </w:t>
      </w:r>
    </w:p>
    <w:p w:rsidR="002E47B7" w:rsidRPr="00590D46" w:rsidRDefault="002E47B7" w:rsidP="00590D46">
      <w:pPr>
        <w:pStyle w:val="Default"/>
        <w:spacing w:line="360" w:lineRule="auto"/>
        <w:jc w:val="both"/>
        <w:rPr>
          <w:color w:val="auto"/>
        </w:rPr>
      </w:pPr>
      <w:r w:rsidRPr="00590D46">
        <w:rPr>
          <w:color w:val="auto"/>
        </w:rPr>
        <w:t xml:space="preserve">A tal fine, l’offerta è corredata, a pena di esclusione, dall’impegno di un fideiussore a rilasciare tale garanzia fideiussoria per l’esecuzione del contratto qualora l’offerente risultasse affidatario. </w:t>
      </w:r>
    </w:p>
    <w:p w:rsidR="002E47B7" w:rsidRPr="00590D46" w:rsidRDefault="00913D2C" w:rsidP="00590D46">
      <w:pPr>
        <w:pStyle w:val="Default"/>
        <w:spacing w:line="360" w:lineRule="auto"/>
        <w:jc w:val="both"/>
        <w:rPr>
          <w:color w:val="auto"/>
        </w:rPr>
      </w:pPr>
      <w:r>
        <w:rPr>
          <w:color w:val="auto"/>
        </w:rPr>
        <w:t>Ai sensi dell’art. 10</w:t>
      </w:r>
      <w:r w:rsidR="002E47B7" w:rsidRPr="00590D46">
        <w:rPr>
          <w:color w:val="auto"/>
        </w:rPr>
        <w:t xml:space="preserve">3 </w:t>
      </w:r>
      <w:proofErr w:type="spellStart"/>
      <w:r w:rsidR="002E47B7" w:rsidRPr="00590D46">
        <w:rPr>
          <w:color w:val="auto"/>
        </w:rPr>
        <w:t>D.Lgs.</w:t>
      </w:r>
      <w:proofErr w:type="spellEnd"/>
      <w:r w:rsidR="002E47B7" w:rsidRPr="00590D46">
        <w:rPr>
          <w:color w:val="auto"/>
        </w:rPr>
        <w:t xml:space="preserve"> n. </w:t>
      </w:r>
      <w:r>
        <w:rPr>
          <w:color w:val="auto"/>
        </w:rPr>
        <w:t>50</w:t>
      </w:r>
      <w:r w:rsidR="002E47B7" w:rsidRPr="00590D46">
        <w:rPr>
          <w:color w:val="auto"/>
        </w:rPr>
        <w:t>/20</w:t>
      </w:r>
      <w:r>
        <w:rPr>
          <w:color w:val="auto"/>
        </w:rPr>
        <w:t>1</w:t>
      </w:r>
      <w:r w:rsidR="002E47B7" w:rsidRPr="00590D46">
        <w:rPr>
          <w:color w:val="auto"/>
        </w:rPr>
        <w:t xml:space="preserve">6, l'esecutore del contratto è obbligato a costituire una garanzia fideiussoria del 10 per cento dell'importo contrattuale ovvero, in caso di aggiudicazione con ribasso d'asta superiore al 10 per cento, nella misura corrispondente all’aumento di tanti punti percentuali quanti sono quelli eccedenti il 10 per cento; e ove il ribasso sia superiore al 20 per cento, nella misura corrispondente all'aumento di due punti percentuali per ogni punto di ribasso superiore al 20 per cento. </w:t>
      </w:r>
    </w:p>
    <w:p w:rsidR="002E47B7" w:rsidRPr="00590D46" w:rsidRDefault="002E47B7" w:rsidP="00590D46">
      <w:pPr>
        <w:pStyle w:val="Default"/>
        <w:spacing w:line="360" w:lineRule="auto"/>
        <w:jc w:val="both"/>
        <w:rPr>
          <w:color w:val="auto"/>
        </w:rPr>
      </w:pPr>
      <w:r w:rsidRPr="00590D46">
        <w:rPr>
          <w:color w:val="auto"/>
        </w:rPr>
        <w:t xml:space="preserve">La garanzia fideiussoria può essere bancaria o assicurativa o rilasciata dagli intermediari finanziari iscritti nell'elenco speciale di cui all'articolo 107 del decreto legislativo 1° settembre 1993, n. 385, che svolgono in via esclusiva o prevalente attività di rilascio di garanzie, a ciò autorizzati dal Ministero dell'economia e delle finanze. La fideiussione deve prevedere espressamente la rinuncia al beneficio della preventiva escussione del debitore principale, la rinuncia all’eccezione di cui all’art. 1957 comma 2 del codice civile, nonché l’operatività della garanzia medesima entro 15 giorni, a semplice richiesta scritta della stazione appaltante. </w:t>
      </w:r>
    </w:p>
    <w:p w:rsidR="002E47B7" w:rsidRPr="00590D46" w:rsidRDefault="002E47B7" w:rsidP="00590D46">
      <w:pPr>
        <w:pStyle w:val="Default"/>
        <w:spacing w:line="360" w:lineRule="auto"/>
        <w:jc w:val="both"/>
        <w:rPr>
          <w:color w:val="auto"/>
        </w:rPr>
      </w:pPr>
      <w:r w:rsidRPr="00590D46">
        <w:rPr>
          <w:color w:val="auto"/>
        </w:rPr>
        <w:lastRenderedPageBreak/>
        <w:t xml:space="preserve">La mancata costituzione della garanzia per l’esecuzione del contratto determina la decadenza dell'affidamento e l'acquisizione della cauzione provvisoria da parte della stazione appaltante, che aggiudica l'appalto al concorrente che segue nella graduatoria. </w:t>
      </w:r>
    </w:p>
    <w:p w:rsidR="002E47B7" w:rsidRPr="00590D46" w:rsidRDefault="002E47B7" w:rsidP="00590D46">
      <w:pPr>
        <w:pStyle w:val="Default"/>
        <w:spacing w:line="360" w:lineRule="auto"/>
        <w:jc w:val="both"/>
        <w:rPr>
          <w:color w:val="auto"/>
        </w:rPr>
      </w:pPr>
      <w:r w:rsidRPr="00590D46">
        <w:rPr>
          <w:color w:val="auto"/>
        </w:rPr>
        <w:t xml:space="preserve">La garanzia copre gli oneri per il mancato od inesatto adempimento e cessa di avere effetto solo alla data di attestazione di regolare esecuzione. </w:t>
      </w:r>
    </w:p>
    <w:p w:rsidR="002E47B7" w:rsidRPr="00590D46" w:rsidRDefault="002E47B7" w:rsidP="00590D46">
      <w:pPr>
        <w:pStyle w:val="Default"/>
        <w:spacing w:line="360" w:lineRule="auto"/>
        <w:jc w:val="both"/>
        <w:rPr>
          <w:color w:val="auto"/>
        </w:rPr>
      </w:pPr>
      <w:r w:rsidRPr="00590D46">
        <w:rPr>
          <w:color w:val="auto"/>
        </w:rPr>
        <w:t>L’importo delle garanzie è ridotto del</w:t>
      </w:r>
      <w:r w:rsidR="00184379">
        <w:rPr>
          <w:color w:val="auto"/>
        </w:rPr>
        <w:t xml:space="preserve">le somme previste dal combinato disposto degli artt. 103, comma </w:t>
      </w:r>
      <w:r w:rsidR="007C2303">
        <w:rPr>
          <w:color w:val="auto"/>
        </w:rPr>
        <w:t>1</w:t>
      </w:r>
      <w:r w:rsidR="00184379">
        <w:rPr>
          <w:color w:val="auto"/>
        </w:rPr>
        <w:t xml:space="preserve">, e </w:t>
      </w:r>
      <w:r w:rsidR="007C2303">
        <w:rPr>
          <w:color w:val="auto"/>
        </w:rPr>
        <w:t>93</w:t>
      </w:r>
      <w:r w:rsidR="00184379">
        <w:rPr>
          <w:color w:val="auto"/>
        </w:rPr>
        <w:t xml:space="preserve">, comma </w:t>
      </w:r>
      <w:r w:rsidR="007C2303">
        <w:rPr>
          <w:color w:val="auto"/>
        </w:rPr>
        <w:t>7</w:t>
      </w:r>
      <w:r w:rsidR="00184379">
        <w:rPr>
          <w:color w:val="auto"/>
        </w:rPr>
        <w:t>, del D.lgs. n. 50/2016,</w:t>
      </w:r>
      <w:r w:rsidRPr="00590D46">
        <w:rPr>
          <w:color w:val="auto"/>
        </w:rPr>
        <w:t xml:space="preserve"> per gli operatori economici in possesso di certificazione del sistema di qualità conforme alla norma europea della serie UNI CEI ISO 9000. Il possesso di tale requisito deve essere segnalato in sede di offerta e documentato nei modi previsti dalle norme vigenti (originale, copia autenticata, dichiarazione sostitutiva di atto notorio o copia conforme all’originale ai sensi del DPR 445/2000; negli ultimi 2 casi allegare copia di un valido documento d’identità del dichiarante).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1</w:t>
      </w:r>
      <w:r w:rsidR="009B2211">
        <w:rPr>
          <w:b/>
          <w:bCs/>
          <w:color w:val="auto"/>
        </w:rPr>
        <w:t>6</w:t>
      </w:r>
      <w:r w:rsidRPr="00590D46">
        <w:rPr>
          <w:b/>
          <w:bCs/>
          <w:color w:val="auto"/>
        </w:rPr>
        <w:t xml:space="preserve">. MODALITA’ </w:t>
      </w:r>
      <w:proofErr w:type="spellStart"/>
      <w:r w:rsidRPr="00590D46">
        <w:rPr>
          <w:b/>
          <w:bCs/>
          <w:color w:val="auto"/>
        </w:rPr>
        <w:t>DI</w:t>
      </w:r>
      <w:proofErr w:type="spellEnd"/>
      <w:r w:rsidRPr="00590D46">
        <w:rPr>
          <w:b/>
          <w:bCs/>
          <w:color w:val="auto"/>
        </w:rPr>
        <w:t xml:space="preserve"> ESPLETAMENTO DELLA GARA </w:t>
      </w:r>
    </w:p>
    <w:p w:rsidR="00593B7C" w:rsidRPr="00593B7C" w:rsidRDefault="00593B7C" w:rsidP="00593B7C">
      <w:pPr>
        <w:pStyle w:val="Default"/>
        <w:spacing w:line="360" w:lineRule="auto"/>
        <w:jc w:val="both"/>
        <w:rPr>
          <w:color w:val="auto"/>
        </w:rPr>
      </w:pPr>
      <w:r w:rsidRPr="00593B7C">
        <w:rPr>
          <w:color w:val="auto"/>
        </w:rPr>
        <w:t xml:space="preserve">I plichi contenenti la documentazione amministrativa (BUSTA A) saranno aperti alla presenza degli offerenti alle </w:t>
      </w:r>
      <w:r w:rsidR="002F6BC3" w:rsidRPr="002F6BC3">
        <w:rPr>
          <w:color w:val="auto"/>
        </w:rPr>
        <w:t xml:space="preserve">ore </w:t>
      </w:r>
      <w:r w:rsidR="002F6BC3" w:rsidRPr="002F6BC3">
        <w:rPr>
          <w:b/>
          <w:color w:val="auto"/>
        </w:rPr>
        <w:t>9</w:t>
      </w:r>
      <w:r w:rsidRPr="002F6BC3">
        <w:rPr>
          <w:b/>
          <w:color w:val="auto"/>
        </w:rPr>
        <w:t>,</w:t>
      </w:r>
      <w:r w:rsidR="002F6BC3" w:rsidRPr="002F6BC3">
        <w:rPr>
          <w:b/>
          <w:color w:val="auto"/>
        </w:rPr>
        <w:t>3</w:t>
      </w:r>
      <w:r w:rsidRPr="002F6BC3">
        <w:rPr>
          <w:b/>
          <w:color w:val="auto"/>
        </w:rPr>
        <w:t>0 del giorno 1</w:t>
      </w:r>
      <w:r w:rsidR="002F6BC3" w:rsidRPr="002F6BC3">
        <w:rPr>
          <w:b/>
          <w:color w:val="auto"/>
        </w:rPr>
        <w:t>4</w:t>
      </w:r>
      <w:r w:rsidRPr="002F6BC3">
        <w:rPr>
          <w:b/>
          <w:color w:val="auto"/>
        </w:rPr>
        <w:t xml:space="preserve"> ottobre 2016</w:t>
      </w:r>
      <w:r w:rsidRPr="00593B7C">
        <w:rPr>
          <w:color w:val="auto"/>
        </w:rPr>
        <w:t xml:space="preserve"> presso una sala di Palazzo Civico, piazza Municipio, n.</w:t>
      </w:r>
      <w:r>
        <w:rPr>
          <w:color w:val="auto"/>
        </w:rPr>
        <w:t xml:space="preserve"> </w:t>
      </w:r>
      <w:r w:rsidRPr="00593B7C">
        <w:rPr>
          <w:color w:val="auto"/>
        </w:rPr>
        <w:t>5</w:t>
      </w:r>
      <w:r>
        <w:rPr>
          <w:color w:val="auto"/>
        </w:rPr>
        <w:t xml:space="preserve"> in</w:t>
      </w:r>
      <w:r w:rsidRPr="00593B7C">
        <w:rPr>
          <w:color w:val="auto"/>
        </w:rPr>
        <w:t xml:space="preserve"> Vercelli. </w:t>
      </w:r>
    </w:p>
    <w:p w:rsidR="00593B7C" w:rsidRPr="00593B7C" w:rsidRDefault="00593B7C" w:rsidP="00593B7C">
      <w:pPr>
        <w:pStyle w:val="Default"/>
        <w:spacing w:line="360" w:lineRule="auto"/>
        <w:jc w:val="both"/>
        <w:rPr>
          <w:color w:val="auto"/>
        </w:rPr>
      </w:pPr>
      <w:r w:rsidRPr="00593B7C">
        <w:rPr>
          <w:color w:val="auto"/>
        </w:rPr>
        <w:t xml:space="preserve">Sono ammessi ad assistere alle sedute pubbliche i legali rappresentanti delle imprese concorrenti, ovvero i soggetti muniti di apposita delega (in carta semplice) conferita loro dai legali rappresentanti. </w:t>
      </w:r>
    </w:p>
    <w:p w:rsidR="00593B7C" w:rsidRPr="00593B7C" w:rsidRDefault="00593B7C" w:rsidP="00593B7C">
      <w:pPr>
        <w:pStyle w:val="Default"/>
        <w:spacing w:line="360" w:lineRule="auto"/>
        <w:jc w:val="both"/>
        <w:rPr>
          <w:color w:val="auto"/>
        </w:rPr>
      </w:pPr>
      <w:r w:rsidRPr="00593B7C">
        <w:rPr>
          <w:color w:val="auto"/>
        </w:rPr>
        <w:t xml:space="preserve">In seduta pubblica, la commissione di gara provvederà all’apertura dei plichi contenenti le offerte tecniche al fine di procedere alla verifica della presenza dei documenti prodotti. </w:t>
      </w:r>
    </w:p>
    <w:p w:rsidR="00593B7C" w:rsidRPr="00593B7C" w:rsidRDefault="00593B7C" w:rsidP="00593B7C">
      <w:pPr>
        <w:pStyle w:val="Default"/>
        <w:spacing w:line="360" w:lineRule="auto"/>
        <w:jc w:val="both"/>
        <w:rPr>
          <w:color w:val="auto"/>
        </w:rPr>
      </w:pPr>
      <w:r w:rsidRPr="00593B7C">
        <w:rPr>
          <w:color w:val="auto"/>
        </w:rPr>
        <w:t>L’esame dell’</w:t>
      </w:r>
      <w:r w:rsidR="00F64483">
        <w:rPr>
          <w:color w:val="auto"/>
        </w:rPr>
        <w:t xml:space="preserve"> </w:t>
      </w:r>
      <w:r w:rsidRPr="00593B7C">
        <w:rPr>
          <w:color w:val="auto"/>
        </w:rPr>
        <w:t>“OFFERTA TECNICA” verrà effettuato successivamente, in seduta riservata, dalla commissione appositamente costituita. I punteggi attribuiti a ciascun progetto verranno comunicati in apposita seduta pubblica, la cui data sarà comunicata ai partecipanti con avviso pubblicato sul profilo committente.</w:t>
      </w:r>
    </w:p>
    <w:p w:rsidR="00593B7C" w:rsidRPr="00593B7C" w:rsidRDefault="00593B7C" w:rsidP="00593B7C">
      <w:pPr>
        <w:pStyle w:val="Default"/>
        <w:spacing w:line="360" w:lineRule="auto"/>
        <w:jc w:val="both"/>
        <w:rPr>
          <w:color w:val="auto"/>
        </w:rPr>
      </w:pPr>
      <w:r w:rsidRPr="00593B7C">
        <w:rPr>
          <w:color w:val="auto"/>
        </w:rPr>
        <w:t xml:space="preserve">In tale seduta si procederà alla apertura della busta contenente l’offerta economica (BUSTA </w:t>
      </w:r>
      <w:r>
        <w:rPr>
          <w:color w:val="auto"/>
        </w:rPr>
        <w:t>B</w:t>
      </w:r>
      <w:r w:rsidRPr="00593B7C">
        <w:rPr>
          <w:color w:val="auto"/>
        </w:rPr>
        <w:t>) ed al conteggio dei punteggi complessivi.</w:t>
      </w:r>
    </w:p>
    <w:p w:rsidR="00593B7C" w:rsidRPr="00593B7C" w:rsidRDefault="00593B7C" w:rsidP="00593B7C">
      <w:pPr>
        <w:pStyle w:val="Default"/>
        <w:spacing w:line="360" w:lineRule="auto"/>
        <w:jc w:val="both"/>
        <w:rPr>
          <w:color w:val="auto"/>
        </w:rPr>
      </w:pPr>
      <w:r w:rsidRPr="00593B7C">
        <w:rPr>
          <w:color w:val="auto"/>
        </w:rPr>
        <w:t xml:space="preserve">Individuate le ditte che hanno presentato un’offerta presuntivamente anomala, la stazione appaltante procederà in separata sede alla valutazione della congruità delle offerte in conformità a quanto previsto dall’ art. 97 del </w:t>
      </w:r>
      <w:proofErr w:type="spellStart"/>
      <w:r w:rsidRPr="00593B7C">
        <w:rPr>
          <w:color w:val="auto"/>
        </w:rPr>
        <w:t>D.Lgs</w:t>
      </w:r>
      <w:proofErr w:type="spellEnd"/>
      <w:r w:rsidRPr="00593B7C">
        <w:rPr>
          <w:color w:val="auto"/>
        </w:rPr>
        <w:t xml:space="preserve"> n. 50/2016. </w:t>
      </w:r>
    </w:p>
    <w:p w:rsidR="00593B7C" w:rsidRPr="00593B7C" w:rsidRDefault="00593B7C" w:rsidP="00593B7C">
      <w:pPr>
        <w:pStyle w:val="Default"/>
        <w:spacing w:line="360" w:lineRule="auto"/>
        <w:jc w:val="both"/>
        <w:rPr>
          <w:color w:val="auto"/>
        </w:rPr>
      </w:pPr>
      <w:r w:rsidRPr="00593B7C">
        <w:rPr>
          <w:color w:val="auto"/>
        </w:rPr>
        <w:t xml:space="preserve">In seduta pubblica verrà reso noto l’esito del procedimento di verifica di anomalia. </w:t>
      </w:r>
    </w:p>
    <w:p w:rsidR="00593B7C" w:rsidRDefault="00593B7C" w:rsidP="00593B7C">
      <w:pPr>
        <w:pStyle w:val="Default"/>
        <w:spacing w:line="360" w:lineRule="auto"/>
        <w:jc w:val="both"/>
        <w:rPr>
          <w:color w:val="auto"/>
        </w:rPr>
      </w:pPr>
      <w:r w:rsidRPr="00593B7C">
        <w:rPr>
          <w:color w:val="auto"/>
        </w:rPr>
        <w:lastRenderedPageBreak/>
        <w:t>La Commissione giudicatrice provvederà alla formulazione di una graduatoria dei soggetti partecipanti stilata per effetto dei punteggi totali complessivi. L’appalto sarà affidato al soggetto partecipante che avrà raggiunto il maggior punteggio complessivo.</w:t>
      </w:r>
    </w:p>
    <w:p w:rsidR="002E47B7" w:rsidRPr="00590D46" w:rsidRDefault="002E47B7" w:rsidP="00590D46">
      <w:pPr>
        <w:pStyle w:val="Default"/>
        <w:spacing w:line="360" w:lineRule="auto"/>
        <w:jc w:val="both"/>
        <w:rPr>
          <w:b/>
          <w:bCs/>
          <w:color w:val="auto"/>
        </w:rPr>
      </w:pPr>
    </w:p>
    <w:p w:rsidR="002E47B7" w:rsidRPr="00590D46" w:rsidRDefault="00D0519A" w:rsidP="00590D46">
      <w:pPr>
        <w:pStyle w:val="Default"/>
        <w:spacing w:line="360" w:lineRule="auto"/>
        <w:jc w:val="both"/>
        <w:rPr>
          <w:color w:val="auto"/>
        </w:rPr>
      </w:pPr>
      <w:r>
        <w:rPr>
          <w:b/>
          <w:bCs/>
          <w:color w:val="auto"/>
        </w:rPr>
        <w:t>1</w:t>
      </w:r>
      <w:r w:rsidR="009B2211">
        <w:rPr>
          <w:b/>
          <w:bCs/>
          <w:color w:val="auto"/>
        </w:rPr>
        <w:t>7</w:t>
      </w:r>
      <w:r w:rsidR="002E47B7" w:rsidRPr="00590D46">
        <w:rPr>
          <w:b/>
          <w:bCs/>
          <w:color w:val="auto"/>
        </w:rPr>
        <w:t xml:space="preserve">. CONTROLLO SUL POSSESSO DEI REQUISITI </w:t>
      </w:r>
      <w:proofErr w:type="spellStart"/>
      <w:r w:rsidR="002E47B7" w:rsidRPr="00590D46">
        <w:rPr>
          <w:b/>
          <w:bCs/>
          <w:color w:val="auto"/>
        </w:rPr>
        <w:t>DI</w:t>
      </w:r>
      <w:proofErr w:type="spellEnd"/>
      <w:r w:rsidR="0049647B">
        <w:rPr>
          <w:b/>
          <w:bCs/>
          <w:color w:val="auto"/>
        </w:rPr>
        <w:t xml:space="preserve"> CUI ALL’ART. </w:t>
      </w:r>
      <w:r w:rsidR="002E47B7" w:rsidRPr="00590D46">
        <w:rPr>
          <w:b/>
          <w:bCs/>
          <w:color w:val="auto"/>
        </w:rPr>
        <w:t>8</w:t>
      </w:r>
      <w:r w:rsidR="0049647B">
        <w:rPr>
          <w:b/>
          <w:bCs/>
          <w:color w:val="auto"/>
        </w:rPr>
        <w:t>0</w:t>
      </w:r>
      <w:r w:rsidR="002E47B7" w:rsidRPr="00590D46">
        <w:rPr>
          <w:b/>
          <w:bCs/>
          <w:color w:val="auto"/>
        </w:rPr>
        <w:t xml:space="preserve"> </w:t>
      </w:r>
      <w:proofErr w:type="spellStart"/>
      <w:r w:rsidR="002E47B7" w:rsidRPr="00590D46">
        <w:rPr>
          <w:b/>
          <w:bCs/>
          <w:color w:val="auto"/>
        </w:rPr>
        <w:t>D.LGS.</w:t>
      </w:r>
      <w:proofErr w:type="spellEnd"/>
      <w:r w:rsidR="002E47B7" w:rsidRPr="00590D46">
        <w:rPr>
          <w:b/>
          <w:bCs/>
          <w:color w:val="auto"/>
        </w:rPr>
        <w:t xml:space="preserve"> N. </w:t>
      </w:r>
      <w:r w:rsidR="0049647B">
        <w:rPr>
          <w:b/>
          <w:bCs/>
          <w:color w:val="auto"/>
        </w:rPr>
        <w:t>50</w:t>
      </w:r>
      <w:r w:rsidR="002E47B7" w:rsidRPr="00590D46">
        <w:rPr>
          <w:b/>
          <w:bCs/>
          <w:color w:val="auto"/>
        </w:rPr>
        <w:t>/20</w:t>
      </w:r>
      <w:r w:rsidR="0049647B">
        <w:rPr>
          <w:b/>
          <w:bCs/>
          <w:color w:val="auto"/>
        </w:rPr>
        <w:t>1</w:t>
      </w:r>
      <w:r w:rsidR="002E47B7" w:rsidRPr="00590D46">
        <w:rPr>
          <w:b/>
          <w:bCs/>
          <w:color w:val="auto"/>
        </w:rPr>
        <w:t xml:space="preserve">6 </w:t>
      </w:r>
    </w:p>
    <w:p w:rsidR="002E47B7" w:rsidRPr="00590D46" w:rsidRDefault="002E47B7" w:rsidP="00590D46">
      <w:pPr>
        <w:pStyle w:val="Default"/>
        <w:spacing w:line="360" w:lineRule="auto"/>
        <w:jc w:val="both"/>
        <w:rPr>
          <w:color w:val="auto"/>
        </w:rPr>
      </w:pPr>
      <w:r w:rsidRPr="00590D46">
        <w:rPr>
          <w:color w:val="auto"/>
        </w:rPr>
        <w:t>Sulle dichiarazioni presentate verranno effettuati i controlli di legge per verificare la veridicità di quanto dichiarato e autocertificato</w:t>
      </w:r>
      <w:r w:rsidR="0049647B">
        <w:rPr>
          <w:color w:val="auto"/>
        </w:rPr>
        <w:t>;</w:t>
      </w:r>
      <w:r w:rsidRPr="00590D46">
        <w:rPr>
          <w:color w:val="auto"/>
        </w:rPr>
        <w:t xml:space="preserve"> effettuate con esito positivo le verifiche sul possesso dei requisiti richiesti dal bando, la stazione appaltante procede all’aggiudicazione. </w:t>
      </w:r>
    </w:p>
    <w:p w:rsidR="002E47B7" w:rsidRPr="00590D46" w:rsidRDefault="002E47B7" w:rsidP="00590D46">
      <w:pPr>
        <w:pStyle w:val="Default"/>
        <w:spacing w:line="360" w:lineRule="auto"/>
        <w:jc w:val="both"/>
        <w:rPr>
          <w:color w:val="auto"/>
        </w:rPr>
      </w:pPr>
      <w:r w:rsidRPr="00590D46">
        <w:rPr>
          <w:color w:val="auto"/>
        </w:rPr>
        <w:t xml:space="preserve">In caso di </w:t>
      </w:r>
      <w:proofErr w:type="spellStart"/>
      <w:r w:rsidRPr="00590D46">
        <w:rPr>
          <w:color w:val="auto"/>
        </w:rPr>
        <w:t>R.T.I.</w:t>
      </w:r>
      <w:proofErr w:type="spellEnd"/>
      <w:r w:rsidRPr="00590D46">
        <w:rPr>
          <w:color w:val="auto"/>
        </w:rPr>
        <w:t xml:space="preserve">, ai fini dell’aggiudicazione, dovrà essere prodotta copia autentica del mandato speciale irrevocabile con rappresentanza all’impresa capogruppo, ovvero dell’atto costitutivo del consorzio qualora non acquisito nel corso della procedura. </w:t>
      </w:r>
    </w:p>
    <w:p w:rsidR="002E47B7" w:rsidRPr="00590D46" w:rsidRDefault="002E47B7" w:rsidP="00590D46">
      <w:pPr>
        <w:pStyle w:val="Default"/>
        <w:spacing w:line="360" w:lineRule="auto"/>
        <w:jc w:val="both"/>
        <w:rPr>
          <w:color w:val="auto"/>
        </w:rPr>
      </w:pPr>
      <w:r w:rsidRPr="00590D46">
        <w:rPr>
          <w:color w:val="auto"/>
        </w:rPr>
        <w:t xml:space="preserve">Qualora non sia prodotta tale documentazione o non sia confermato il contenuto delle dichiarazioni rese, si procederà all’esclusione del concorrente dalla gara, all’escussione della relativa cauzione provvisoria e alla nuova aggiudicazione. </w:t>
      </w:r>
    </w:p>
    <w:p w:rsidR="00F64483" w:rsidRPr="00F64483" w:rsidRDefault="00F64483" w:rsidP="00F64483">
      <w:pPr>
        <w:ind w:left="0" w:right="-1"/>
        <w:rPr>
          <w:rFonts w:ascii="Times New Roman" w:hAnsi="Times New Roman" w:cs="Times New Roman"/>
          <w:sz w:val="24"/>
          <w:szCs w:val="24"/>
        </w:rPr>
      </w:pPr>
      <w:r w:rsidRPr="00F64483">
        <w:rPr>
          <w:rFonts w:ascii="Times New Roman" w:hAnsi="Times New Roman" w:cs="Times New Roman"/>
          <w:sz w:val="24"/>
          <w:szCs w:val="24"/>
        </w:rPr>
        <w:t xml:space="preserve">L’aggiudicazione sarà effettuata con determinazione del Dirigente competente del Servizio. </w:t>
      </w:r>
    </w:p>
    <w:p w:rsidR="00916BC1" w:rsidRPr="00590D46" w:rsidRDefault="00916BC1"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1</w:t>
      </w:r>
      <w:r w:rsidR="009B2211">
        <w:rPr>
          <w:b/>
          <w:bCs/>
          <w:color w:val="auto"/>
        </w:rPr>
        <w:t>8</w:t>
      </w:r>
      <w:r w:rsidRPr="00590D46">
        <w:rPr>
          <w:b/>
          <w:bCs/>
          <w:color w:val="auto"/>
        </w:rPr>
        <w:t xml:space="preserve">. ADEMPIMENTI A CARICO DELL’AGGIUDICATARIO </w:t>
      </w:r>
    </w:p>
    <w:p w:rsidR="002E47B7" w:rsidRPr="00590D46" w:rsidRDefault="002E47B7" w:rsidP="00590D46">
      <w:pPr>
        <w:pStyle w:val="Default"/>
        <w:spacing w:line="360" w:lineRule="auto"/>
        <w:jc w:val="both"/>
        <w:rPr>
          <w:color w:val="auto"/>
        </w:rPr>
      </w:pPr>
      <w:r w:rsidRPr="00590D46">
        <w:rPr>
          <w:color w:val="auto"/>
        </w:rPr>
        <w:t xml:space="preserve">L’aggiudicatario dovrà: </w:t>
      </w:r>
    </w:p>
    <w:p w:rsidR="002E47B7" w:rsidRPr="00590D46" w:rsidRDefault="002E47B7" w:rsidP="00590D46">
      <w:pPr>
        <w:pStyle w:val="Default"/>
        <w:spacing w:line="360" w:lineRule="auto"/>
        <w:jc w:val="both"/>
        <w:rPr>
          <w:color w:val="auto"/>
        </w:rPr>
      </w:pPr>
      <w:r w:rsidRPr="00590D46">
        <w:rPr>
          <w:b/>
          <w:bCs/>
          <w:color w:val="auto"/>
        </w:rPr>
        <w:t xml:space="preserve">a) </w:t>
      </w:r>
      <w:r w:rsidRPr="00590D46">
        <w:rPr>
          <w:color w:val="auto"/>
        </w:rPr>
        <w:t>costituire la cauzione definitiva nella misura e co</w:t>
      </w:r>
      <w:r w:rsidR="0049647B">
        <w:rPr>
          <w:color w:val="auto"/>
        </w:rPr>
        <w:t>n le modalità di cui all’art. 10</w:t>
      </w:r>
      <w:r w:rsidRPr="00590D46">
        <w:rPr>
          <w:color w:val="auto"/>
        </w:rPr>
        <w:t xml:space="preserve">3 D.lgs. </w:t>
      </w:r>
      <w:r w:rsidR="0049647B">
        <w:rPr>
          <w:color w:val="auto"/>
        </w:rPr>
        <w:t>50</w:t>
      </w:r>
      <w:r w:rsidRPr="00590D46">
        <w:rPr>
          <w:color w:val="auto"/>
        </w:rPr>
        <w:t>/20</w:t>
      </w:r>
      <w:r w:rsidR="0049647B">
        <w:rPr>
          <w:color w:val="auto"/>
        </w:rPr>
        <w:t>1</w:t>
      </w:r>
      <w:r w:rsidRPr="00590D46">
        <w:rPr>
          <w:color w:val="auto"/>
        </w:rPr>
        <w:t xml:space="preserve">6. </w:t>
      </w:r>
    </w:p>
    <w:p w:rsidR="002E47B7" w:rsidRPr="00590D46" w:rsidRDefault="002E47B7" w:rsidP="00590D46">
      <w:pPr>
        <w:pStyle w:val="Default"/>
        <w:spacing w:line="360" w:lineRule="auto"/>
        <w:jc w:val="both"/>
        <w:rPr>
          <w:color w:val="auto"/>
        </w:rPr>
      </w:pPr>
      <w:r w:rsidRPr="00590D46">
        <w:rPr>
          <w:b/>
          <w:bCs/>
          <w:color w:val="auto"/>
        </w:rPr>
        <w:t xml:space="preserve">b) </w:t>
      </w:r>
      <w:r w:rsidRPr="00590D46">
        <w:rPr>
          <w:color w:val="auto"/>
        </w:rPr>
        <w:t xml:space="preserve">stipulare le polizze assicurative di cui al capitolato speciale d’appalto; </w:t>
      </w:r>
    </w:p>
    <w:p w:rsidR="002E47B7" w:rsidRPr="00590D46" w:rsidRDefault="002E47B7" w:rsidP="00590D46">
      <w:pPr>
        <w:pStyle w:val="Default"/>
        <w:spacing w:line="360" w:lineRule="auto"/>
        <w:jc w:val="both"/>
        <w:rPr>
          <w:color w:val="auto"/>
        </w:rPr>
      </w:pPr>
      <w:r w:rsidRPr="00590D46">
        <w:rPr>
          <w:b/>
          <w:bCs/>
          <w:color w:val="auto"/>
        </w:rPr>
        <w:t xml:space="preserve">c) </w:t>
      </w:r>
      <w:r w:rsidRPr="00590D46">
        <w:rPr>
          <w:color w:val="auto"/>
        </w:rPr>
        <w:t>firmare il contratto entro il termine di 60 giorni decorrente dalla data in cui è divenuta efficace l’aggiudicazione (</w:t>
      </w:r>
      <w:r w:rsidR="0049647B" w:rsidRPr="00590D46">
        <w:rPr>
          <w:color w:val="auto"/>
        </w:rPr>
        <w:t xml:space="preserve">art. </w:t>
      </w:r>
      <w:r w:rsidR="0049647B">
        <w:rPr>
          <w:color w:val="auto"/>
        </w:rPr>
        <w:t>32</w:t>
      </w:r>
      <w:r w:rsidR="0049647B" w:rsidRPr="00590D46">
        <w:rPr>
          <w:color w:val="auto"/>
        </w:rPr>
        <w:t>, comm</w:t>
      </w:r>
      <w:r w:rsidR="0049647B">
        <w:rPr>
          <w:color w:val="auto"/>
        </w:rPr>
        <w:t>a</w:t>
      </w:r>
      <w:r w:rsidR="0049647B" w:rsidRPr="00590D46">
        <w:rPr>
          <w:color w:val="auto"/>
        </w:rPr>
        <w:t xml:space="preserve"> </w:t>
      </w:r>
      <w:r w:rsidR="00C017E7">
        <w:rPr>
          <w:color w:val="auto"/>
        </w:rPr>
        <w:t>8</w:t>
      </w:r>
      <w:r w:rsidR="0049647B" w:rsidRPr="00590D46">
        <w:rPr>
          <w:color w:val="auto"/>
        </w:rPr>
        <w:t xml:space="preserve">, </w:t>
      </w:r>
      <w:proofErr w:type="spellStart"/>
      <w:r w:rsidR="0049647B" w:rsidRPr="00590D46">
        <w:rPr>
          <w:color w:val="auto"/>
        </w:rPr>
        <w:t>D.Lgs.</w:t>
      </w:r>
      <w:proofErr w:type="spellEnd"/>
      <w:r w:rsidR="0049647B" w:rsidRPr="00590D46">
        <w:rPr>
          <w:color w:val="auto"/>
        </w:rPr>
        <w:t xml:space="preserve"> n. </w:t>
      </w:r>
      <w:r w:rsidR="0049647B">
        <w:rPr>
          <w:color w:val="auto"/>
        </w:rPr>
        <w:t>50</w:t>
      </w:r>
      <w:r w:rsidR="0049647B" w:rsidRPr="00590D46">
        <w:rPr>
          <w:color w:val="auto"/>
        </w:rPr>
        <w:t>/20</w:t>
      </w:r>
      <w:r w:rsidR="0049647B">
        <w:rPr>
          <w:color w:val="auto"/>
        </w:rPr>
        <w:t>16</w:t>
      </w:r>
      <w:r w:rsidRPr="00590D46">
        <w:rPr>
          <w:color w:val="auto"/>
        </w:rPr>
        <w:t xml:space="preserve">), con avvertenza che, in caso contrario, l’amministrazione potrà procedere alla revoca dell’aggiudicazione e all’affidamento al concorrente che segue nella graduatoria; </w:t>
      </w:r>
    </w:p>
    <w:p w:rsidR="002E47B7" w:rsidRPr="00590D46" w:rsidRDefault="002E47B7" w:rsidP="00590D46">
      <w:pPr>
        <w:pStyle w:val="Default"/>
        <w:spacing w:line="360" w:lineRule="auto"/>
        <w:jc w:val="both"/>
        <w:rPr>
          <w:color w:val="auto"/>
        </w:rPr>
      </w:pPr>
      <w:r w:rsidRPr="00590D46">
        <w:rPr>
          <w:b/>
          <w:bCs/>
          <w:color w:val="auto"/>
        </w:rPr>
        <w:t xml:space="preserve">d) </w:t>
      </w:r>
      <w:r w:rsidRPr="00590D46">
        <w:rPr>
          <w:color w:val="auto"/>
        </w:rPr>
        <w:t xml:space="preserve">documentare, prima della sottoscrizione, l’avvenuto pagamento di tutte le spese di contratto relative ai diritti di segreteria ed accessori, nonché versare la liquidità occorrente al pagamento delle spese di registro e le necessarie marche da bollo. </w:t>
      </w:r>
    </w:p>
    <w:p w:rsidR="00916BC1" w:rsidRPr="00590D46" w:rsidRDefault="00916BC1" w:rsidP="00590D46">
      <w:pPr>
        <w:pStyle w:val="Default"/>
        <w:spacing w:line="360" w:lineRule="auto"/>
        <w:jc w:val="both"/>
        <w:rPr>
          <w:b/>
          <w:bCs/>
          <w:color w:val="auto"/>
        </w:rPr>
      </w:pPr>
    </w:p>
    <w:p w:rsidR="002E47B7" w:rsidRPr="00590D46" w:rsidRDefault="009B2211" w:rsidP="00590D46">
      <w:pPr>
        <w:pStyle w:val="Default"/>
        <w:spacing w:line="360" w:lineRule="auto"/>
        <w:jc w:val="both"/>
        <w:rPr>
          <w:color w:val="auto"/>
        </w:rPr>
      </w:pPr>
      <w:r>
        <w:rPr>
          <w:b/>
          <w:bCs/>
          <w:color w:val="auto"/>
        </w:rPr>
        <w:t>19</w:t>
      </w:r>
      <w:r w:rsidR="002E47B7" w:rsidRPr="00590D46">
        <w:rPr>
          <w:b/>
          <w:bCs/>
          <w:color w:val="auto"/>
        </w:rPr>
        <w:t xml:space="preserve">. OBBLIGHI </w:t>
      </w:r>
      <w:proofErr w:type="spellStart"/>
      <w:r w:rsidR="002E47B7" w:rsidRPr="00590D46">
        <w:rPr>
          <w:b/>
          <w:bCs/>
          <w:color w:val="auto"/>
        </w:rPr>
        <w:t>DI</w:t>
      </w:r>
      <w:proofErr w:type="spellEnd"/>
      <w:r w:rsidR="002E47B7" w:rsidRPr="00590D46">
        <w:rPr>
          <w:b/>
          <w:bCs/>
          <w:color w:val="auto"/>
        </w:rPr>
        <w:t xml:space="preserve"> CUI ALLA LEGGE N. 136/2010 </w:t>
      </w:r>
    </w:p>
    <w:p w:rsidR="002E47B7" w:rsidRPr="00590D46" w:rsidRDefault="002E47B7" w:rsidP="00590D46">
      <w:pPr>
        <w:pStyle w:val="Default"/>
        <w:spacing w:line="360" w:lineRule="auto"/>
        <w:jc w:val="both"/>
        <w:rPr>
          <w:color w:val="auto"/>
        </w:rPr>
      </w:pPr>
      <w:r w:rsidRPr="00590D46">
        <w:rPr>
          <w:color w:val="auto"/>
        </w:rPr>
        <w:t xml:space="preserve">L’appaltatore, i subappaltatori e i subcontraenti della filiera dell’impresa aggiudicataria, sono tenuti ad effettuare tutti i movimenti finanziari esclusivamente mediante bonifico bancario o postale, ovvero con altri strumenti di pagamento idonei a consentire la piena tracciabilità delle operazioni, </w:t>
      </w:r>
      <w:r w:rsidRPr="00590D46">
        <w:rPr>
          <w:color w:val="auto"/>
        </w:rPr>
        <w:lastRenderedPageBreak/>
        <w:t xml:space="preserve">utilizzando un conto corrente dedicato, anche in via non esclusiva, alla commessa pubblica (obbligo di tracciabilità dei flussi finanziari). </w:t>
      </w:r>
    </w:p>
    <w:p w:rsidR="002E47B7" w:rsidRPr="00590D46" w:rsidRDefault="002E47B7" w:rsidP="00590D46">
      <w:pPr>
        <w:pStyle w:val="Default"/>
        <w:spacing w:line="360" w:lineRule="auto"/>
        <w:jc w:val="both"/>
        <w:rPr>
          <w:color w:val="auto"/>
        </w:rPr>
      </w:pPr>
      <w:r w:rsidRPr="00590D46">
        <w:rPr>
          <w:color w:val="auto"/>
        </w:rPr>
        <w:t xml:space="preserve">I suddetti soggetti economici comunicano alla stazione appaltante, entro sette giorni dall’accensione o, nel caso di conto corrente già esistente, dalla prima utilizzazione in operazioni finanziarie relative all’appalto, gli estremi identificativi del conto corrente e le generalità e il codice fiscale delle persone delegate ad operare su di esso. </w:t>
      </w:r>
    </w:p>
    <w:p w:rsidR="002E47B7" w:rsidRPr="00590D46" w:rsidRDefault="002E47B7" w:rsidP="00590D46">
      <w:pPr>
        <w:pStyle w:val="Default"/>
        <w:spacing w:line="360" w:lineRule="auto"/>
        <w:jc w:val="both"/>
        <w:rPr>
          <w:color w:val="auto"/>
        </w:rPr>
      </w:pPr>
      <w:r w:rsidRPr="00590D46">
        <w:rPr>
          <w:color w:val="auto"/>
        </w:rPr>
        <w:t xml:space="preserve">La stazione appaltante verifica che nei contratti sottoscritti dall’appaltatore con i subcontraenti/subappaltatori sia inserita, a pena di nullità assoluta, un’apposita clausola di tracciabilità dei flussi finanziari. A tal fine l’appaltatore è tenuto a comunicare alla stazione appaltante tutti i rapporti contrattuali posti in essere (ivi compresi quelli con i subfornitori e i liberi professionisti) per l’esecuzione del contratto d’appalto, mediante produzione dei contratti o dei relativi stralci contenenti le clausole di tracciabilità dei flussi finanziari. </w:t>
      </w:r>
    </w:p>
    <w:p w:rsidR="002E47B7" w:rsidRPr="00590D46" w:rsidRDefault="002E47B7" w:rsidP="00590D46">
      <w:pPr>
        <w:pStyle w:val="Default"/>
        <w:spacing w:line="360" w:lineRule="auto"/>
        <w:jc w:val="both"/>
        <w:rPr>
          <w:color w:val="auto"/>
        </w:rPr>
      </w:pPr>
      <w:r w:rsidRPr="00590D46">
        <w:rPr>
          <w:color w:val="auto"/>
        </w:rPr>
        <w:t xml:space="preserve">L'appaltatore, il subappaltatore o il subcontraente che ha notizia dell'inadempimento della propria controparte agli obblighi di tracciabilità finanziaria di cui al presente articolo ne dà immediata comunicazione alla stazione appaltante e alla Prefettura-Ufficio Territoriale del Governo della provincia ove ha sede la stazione appaltante. </w:t>
      </w:r>
    </w:p>
    <w:p w:rsidR="002E47B7" w:rsidRPr="00590D46" w:rsidRDefault="002E47B7" w:rsidP="00590D46">
      <w:pPr>
        <w:pStyle w:val="Default"/>
        <w:spacing w:line="360" w:lineRule="auto"/>
        <w:jc w:val="both"/>
        <w:rPr>
          <w:color w:val="auto"/>
        </w:rPr>
      </w:pPr>
      <w:r w:rsidRPr="00590D46">
        <w:rPr>
          <w:color w:val="auto"/>
        </w:rPr>
        <w:t xml:space="preserve">Il mancato utilizzo del bonifico bancario o postale ovvero degli altri strumenti idonei a consentire la piena tracciabilità delle operazioni costituisce causa di risoluzione del contratto. </w:t>
      </w:r>
    </w:p>
    <w:p w:rsidR="002E47B7" w:rsidRPr="00590D46" w:rsidRDefault="002E47B7" w:rsidP="00590D46">
      <w:pPr>
        <w:pStyle w:val="Default"/>
        <w:spacing w:line="360" w:lineRule="auto"/>
        <w:jc w:val="both"/>
        <w:rPr>
          <w:color w:val="auto"/>
        </w:rPr>
      </w:pPr>
      <w:r w:rsidRPr="00590D46">
        <w:rPr>
          <w:color w:val="auto"/>
        </w:rPr>
        <w:t xml:space="preserve">L’inosservanza degli obblighi di tracciabilità di cui all’art. 3 della L. 136/2010, determina altresì l’applicazione delle sanzioni di cui all’art. 6 della stessa legge.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2</w:t>
      </w:r>
      <w:r w:rsidR="009B2211">
        <w:rPr>
          <w:b/>
          <w:bCs/>
          <w:color w:val="auto"/>
        </w:rPr>
        <w:t>0</w:t>
      </w:r>
      <w:r w:rsidRPr="00590D46">
        <w:rPr>
          <w:b/>
          <w:bCs/>
          <w:color w:val="auto"/>
        </w:rPr>
        <w:t xml:space="preserve">. DISPOSIZIONI VARIE </w:t>
      </w:r>
    </w:p>
    <w:p w:rsidR="002E47B7" w:rsidRPr="00590D46" w:rsidRDefault="002E47B7" w:rsidP="00590D46">
      <w:pPr>
        <w:pStyle w:val="Default"/>
        <w:spacing w:line="360" w:lineRule="auto"/>
        <w:jc w:val="both"/>
        <w:rPr>
          <w:color w:val="auto"/>
        </w:rPr>
      </w:pPr>
      <w:r w:rsidRPr="00590D46">
        <w:rPr>
          <w:b/>
          <w:bCs/>
          <w:color w:val="auto"/>
        </w:rPr>
        <w:t xml:space="preserve">a) </w:t>
      </w:r>
      <w:r w:rsidRPr="00590D46">
        <w:rPr>
          <w:color w:val="auto"/>
        </w:rPr>
        <w:t xml:space="preserve">Eventuali verifiche dalle quali risulti che la ditta concorrente non è in possesso dei requisiti richiesti per la partecipazione alla gara, comporteranno la decadenza dall’aggiudicazione che, fino a tale momento, deve intendersi sottoposta alla condizione risolutiva espressa. </w:t>
      </w:r>
    </w:p>
    <w:p w:rsidR="002E47B7" w:rsidRPr="00590D46" w:rsidRDefault="002E47B7" w:rsidP="00590D46">
      <w:pPr>
        <w:pStyle w:val="Default"/>
        <w:spacing w:line="360" w:lineRule="auto"/>
        <w:jc w:val="both"/>
        <w:rPr>
          <w:color w:val="auto"/>
        </w:rPr>
      </w:pPr>
      <w:r w:rsidRPr="00590D46">
        <w:rPr>
          <w:b/>
          <w:bCs/>
          <w:color w:val="auto"/>
        </w:rPr>
        <w:t xml:space="preserve">b) </w:t>
      </w:r>
      <w:r w:rsidRPr="00590D46">
        <w:rPr>
          <w:color w:val="auto"/>
        </w:rPr>
        <w:t>Nel caso di decadenza dall’aggiudicazione per mancata costituzione delle garanzie richieste o per anomalia del prezzo offerto, o per altra causa (ivi compreso il mancato inizio del servizio nel termine comunicato dall’amministrazione), il servizio sarà aggiudicato al concorrente che segue in graduatoria alle medesime condizioni già proposte dall'originario ag</w:t>
      </w:r>
      <w:r w:rsidR="0049647B">
        <w:rPr>
          <w:color w:val="auto"/>
        </w:rPr>
        <w:t>giudicatario in sede in offerta</w:t>
      </w:r>
      <w:r w:rsidRPr="00590D46">
        <w:rPr>
          <w:color w:val="auto"/>
        </w:rPr>
        <w:t xml:space="preserve">. </w:t>
      </w:r>
    </w:p>
    <w:p w:rsidR="002E47B7" w:rsidRPr="00590D46" w:rsidRDefault="002E47B7" w:rsidP="00590D46">
      <w:pPr>
        <w:pStyle w:val="Default"/>
        <w:spacing w:line="360" w:lineRule="auto"/>
        <w:jc w:val="both"/>
        <w:rPr>
          <w:color w:val="auto"/>
        </w:rPr>
      </w:pPr>
      <w:r w:rsidRPr="00590D46">
        <w:rPr>
          <w:b/>
          <w:bCs/>
          <w:color w:val="auto"/>
        </w:rPr>
        <w:t xml:space="preserve">c) </w:t>
      </w:r>
      <w:r w:rsidRPr="00590D46">
        <w:rPr>
          <w:color w:val="auto"/>
        </w:rPr>
        <w:t xml:space="preserve">La partecipazione alla gara costituisce, ad ogni effetto, accettazione piena e incondizionata da parte dell’offerente delle norme di cui al presente disciplinare e del Capitolato Speciale di Appalto. </w:t>
      </w:r>
    </w:p>
    <w:p w:rsidR="002E47B7" w:rsidRPr="00590D46" w:rsidRDefault="002E47B7" w:rsidP="00590D46">
      <w:pPr>
        <w:pStyle w:val="Default"/>
        <w:spacing w:line="360" w:lineRule="auto"/>
        <w:jc w:val="both"/>
        <w:rPr>
          <w:color w:val="auto"/>
        </w:rPr>
      </w:pPr>
      <w:r w:rsidRPr="00590D46">
        <w:rPr>
          <w:b/>
          <w:bCs/>
          <w:color w:val="auto"/>
        </w:rPr>
        <w:t xml:space="preserve">d) </w:t>
      </w:r>
      <w:r w:rsidRPr="00590D46">
        <w:rPr>
          <w:color w:val="auto"/>
        </w:rPr>
        <w:t xml:space="preserve">Della gara verrà redatto apposito verbale, al quale farà seguito l’atto di aggiudicazione e la stipula del regolare contratto d’appalto, dopo l’acquisizione della documentazione prevista dalla </w:t>
      </w:r>
      <w:r w:rsidRPr="00590D46">
        <w:rPr>
          <w:color w:val="auto"/>
        </w:rPr>
        <w:lastRenderedPageBreak/>
        <w:t xml:space="preserve">vigente legislazione e il deposito delle spese contrattuali - come previsto per legge - salvo conguaglio, nonché di tutti gli adempimenti di legge. </w:t>
      </w:r>
    </w:p>
    <w:p w:rsidR="002E47B7" w:rsidRPr="00590D46" w:rsidRDefault="002E47B7" w:rsidP="00590D46">
      <w:pPr>
        <w:pStyle w:val="Default"/>
        <w:spacing w:line="360" w:lineRule="auto"/>
        <w:jc w:val="both"/>
        <w:rPr>
          <w:color w:val="auto"/>
        </w:rPr>
      </w:pPr>
      <w:r w:rsidRPr="00590D46">
        <w:rPr>
          <w:b/>
          <w:bCs/>
          <w:color w:val="auto"/>
        </w:rPr>
        <w:t xml:space="preserve">e) </w:t>
      </w:r>
      <w:r w:rsidRPr="00590D46">
        <w:rPr>
          <w:color w:val="auto"/>
        </w:rPr>
        <w:t xml:space="preserve">Trascorso il termine fissato per la ricezione delle offerte non verrà riconosciuta valida offerta alcuna, anche se sostitutiva od aggiuntiva di offerta precedente. </w:t>
      </w:r>
    </w:p>
    <w:p w:rsidR="002E47B7" w:rsidRPr="00590D46" w:rsidRDefault="002E47B7" w:rsidP="00590D46">
      <w:pPr>
        <w:pStyle w:val="Default"/>
        <w:spacing w:line="360" w:lineRule="auto"/>
        <w:jc w:val="both"/>
        <w:rPr>
          <w:color w:val="auto"/>
        </w:rPr>
      </w:pPr>
      <w:r w:rsidRPr="00590D46">
        <w:rPr>
          <w:b/>
          <w:bCs/>
          <w:color w:val="auto"/>
        </w:rPr>
        <w:t xml:space="preserve">f) </w:t>
      </w:r>
      <w:r w:rsidRPr="00590D46">
        <w:rPr>
          <w:color w:val="auto"/>
        </w:rPr>
        <w:t xml:space="preserve">Una stessa ditta non potrà far pervenire più di una offerta. </w:t>
      </w:r>
    </w:p>
    <w:p w:rsidR="002E47B7" w:rsidRPr="00590D46" w:rsidRDefault="0049647B" w:rsidP="00590D46">
      <w:pPr>
        <w:pStyle w:val="Default"/>
        <w:spacing w:line="360" w:lineRule="auto"/>
        <w:jc w:val="both"/>
        <w:rPr>
          <w:color w:val="auto"/>
        </w:rPr>
      </w:pPr>
      <w:r>
        <w:rPr>
          <w:b/>
          <w:bCs/>
          <w:color w:val="auto"/>
        </w:rPr>
        <w:t>g</w:t>
      </w:r>
      <w:r w:rsidR="002E47B7" w:rsidRPr="00590D46">
        <w:rPr>
          <w:b/>
          <w:bCs/>
          <w:color w:val="auto"/>
        </w:rPr>
        <w:t xml:space="preserve">) </w:t>
      </w:r>
      <w:r w:rsidR="002E47B7" w:rsidRPr="00590D46">
        <w:rPr>
          <w:color w:val="auto"/>
        </w:rPr>
        <w:t xml:space="preserve">La partecipazione di una ditta o cooperativa all’appalto in riunione di imprese, esclude automaticamente la possibilità di partecipazione come singola ditta o cooperativa ovvero in altra riunione di imprese. </w:t>
      </w:r>
    </w:p>
    <w:p w:rsidR="002E47B7" w:rsidRPr="00590D46" w:rsidRDefault="0049647B" w:rsidP="00590D46">
      <w:pPr>
        <w:pStyle w:val="Default"/>
        <w:spacing w:line="360" w:lineRule="auto"/>
        <w:jc w:val="both"/>
        <w:rPr>
          <w:color w:val="auto"/>
        </w:rPr>
      </w:pPr>
      <w:r>
        <w:rPr>
          <w:b/>
          <w:bCs/>
          <w:color w:val="auto"/>
        </w:rPr>
        <w:t>h</w:t>
      </w:r>
      <w:r w:rsidR="002E47B7" w:rsidRPr="00590D46">
        <w:rPr>
          <w:b/>
          <w:bCs/>
          <w:color w:val="auto"/>
        </w:rPr>
        <w:t xml:space="preserve">) </w:t>
      </w:r>
      <w:r w:rsidR="002E47B7" w:rsidRPr="00590D46">
        <w:rPr>
          <w:color w:val="auto"/>
        </w:rPr>
        <w:t>Mentre l</w:t>
      </w:r>
      <w:r w:rsidR="00B825AC">
        <w:rPr>
          <w:color w:val="auto"/>
        </w:rPr>
        <w:t xml:space="preserve">a proposta di </w:t>
      </w:r>
      <w:r w:rsidR="002E47B7" w:rsidRPr="00590D46">
        <w:rPr>
          <w:color w:val="auto"/>
        </w:rPr>
        <w:t xml:space="preserve">aggiudicazione è immediatamente impegnativa per la ditta aggiudicataria, essa non costituisce conclusione del contratto per l’Amministrazione; </w:t>
      </w:r>
    </w:p>
    <w:p w:rsidR="002E47B7" w:rsidRPr="00590D46" w:rsidRDefault="0049647B" w:rsidP="00590D46">
      <w:pPr>
        <w:pStyle w:val="Default"/>
        <w:spacing w:line="360" w:lineRule="auto"/>
        <w:jc w:val="both"/>
        <w:rPr>
          <w:color w:val="auto"/>
        </w:rPr>
      </w:pPr>
      <w:r>
        <w:rPr>
          <w:b/>
          <w:bCs/>
          <w:color w:val="auto"/>
        </w:rPr>
        <w:t>i</w:t>
      </w:r>
      <w:r w:rsidR="002E47B7" w:rsidRPr="00590D46">
        <w:rPr>
          <w:b/>
          <w:bCs/>
          <w:color w:val="auto"/>
        </w:rPr>
        <w:t xml:space="preserve">) </w:t>
      </w:r>
      <w:r w:rsidR="002E47B7" w:rsidRPr="00590D46">
        <w:rPr>
          <w:color w:val="auto"/>
        </w:rPr>
        <w:t xml:space="preserve">Le autocertificazioni, le certificazioni, i documenti, la domanda e l’offerta, nonché ogni altra richiesta dovranno essere redatte in lingua italiana o corredate di traduzione giurata. Si ricorda che, nel caso di falsità in atti e di dichiarazioni mendaci, verranno applicate, ai sensi dell’articolo 76 del decreto legislativo 28/12/2000, n. 445, le sanzioni previste dal codice penale e dalle leggi speciali in materia, oltre alle conseguenze amministrative previste per le procedure relative agli appalti di servizi; </w:t>
      </w:r>
    </w:p>
    <w:p w:rsidR="002E47B7" w:rsidRPr="00590D46" w:rsidRDefault="0049647B" w:rsidP="00590D46">
      <w:pPr>
        <w:pStyle w:val="Default"/>
        <w:spacing w:line="360" w:lineRule="auto"/>
        <w:jc w:val="both"/>
        <w:rPr>
          <w:color w:val="auto"/>
        </w:rPr>
      </w:pPr>
      <w:r>
        <w:rPr>
          <w:b/>
          <w:bCs/>
          <w:color w:val="auto"/>
        </w:rPr>
        <w:t>l</w:t>
      </w:r>
      <w:r w:rsidR="002E47B7" w:rsidRPr="00590D46">
        <w:rPr>
          <w:b/>
          <w:bCs/>
          <w:color w:val="auto"/>
        </w:rPr>
        <w:t xml:space="preserve">) </w:t>
      </w:r>
      <w:r w:rsidR="002E47B7" w:rsidRPr="00590D46">
        <w:rPr>
          <w:color w:val="auto"/>
        </w:rPr>
        <w:t xml:space="preserve">Ai sensi </w:t>
      </w:r>
      <w:r>
        <w:rPr>
          <w:color w:val="auto"/>
        </w:rPr>
        <w:t xml:space="preserve">e nelle modalità previsti </w:t>
      </w:r>
      <w:r w:rsidR="002E47B7" w:rsidRPr="00590D46">
        <w:rPr>
          <w:color w:val="auto"/>
        </w:rPr>
        <w:t xml:space="preserve">dell’art. </w:t>
      </w:r>
      <w:r>
        <w:rPr>
          <w:color w:val="auto"/>
        </w:rPr>
        <w:t>83, comma 9, del D.lgs. n. 50/2016 è ammesso il soccorso istruttorio</w:t>
      </w:r>
      <w:r w:rsidR="002E47B7" w:rsidRPr="00590D46">
        <w:rPr>
          <w:color w:val="auto"/>
        </w:rPr>
        <w:t xml:space="preserve">. </w:t>
      </w:r>
      <w:r w:rsidR="003F527B">
        <w:rPr>
          <w:color w:val="auto"/>
        </w:rPr>
        <w:t xml:space="preserve">E’ inoltre prevista la sanzione pecuniaria nella misura minima prevista per legge. </w:t>
      </w:r>
    </w:p>
    <w:p w:rsidR="002E47B7" w:rsidRPr="00590D46" w:rsidRDefault="002E47B7" w:rsidP="00590D46">
      <w:pPr>
        <w:pStyle w:val="Default"/>
        <w:spacing w:line="360" w:lineRule="auto"/>
        <w:jc w:val="both"/>
        <w:rPr>
          <w:b/>
          <w:bCs/>
          <w:color w:val="auto"/>
        </w:rPr>
      </w:pPr>
    </w:p>
    <w:p w:rsidR="0056247A" w:rsidRPr="00590D46" w:rsidRDefault="00D0519A" w:rsidP="00590D46">
      <w:pPr>
        <w:pStyle w:val="Default"/>
        <w:spacing w:line="360" w:lineRule="auto"/>
        <w:jc w:val="both"/>
        <w:rPr>
          <w:b/>
          <w:color w:val="auto"/>
        </w:rPr>
      </w:pPr>
      <w:r>
        <w:rPr>
          <w:b/>
          <w:color w:val="auto"/>
        </w:rPr>
        <w:t>2</w:t>
      </w:r>
      <w:r w:rsidR="009B2211">
        <w:rPr>
          <w:b/>
          <w:color w:val="auto"/>
        </w:rPr>
        <w:t>1</w:t>
      </w:r>
      <w:r w:rsidR="0056247A" w:rsidRPr="00590D46">
        <w:rPr>
          <w:b/>
          <w:color w:val="auto"/>
        </w:rPr>
        <w:t>. FORO COMPETENTE</w:t>
      </w:r>
    </w:p>
    <w:p w:rsidR="0056247A" w:rsidRPr="00590D46" w:rsidRDefault="0056247A" w:rsidP="00590D46">
      <w:pPr>
        <w:autoSpaceDE w:val="0"/>
        <w:autoSpaceDN w:val="0"/>
        <w:adjustRightInd w:val="0"/>
        <w:spacing w:after="0"/>
        <w:ind w:left="0" w:right="0"/>
        <w:rPr>
          <w:rFonts w:ascii="Times New Roman" w:hAnsi="Times New Roman" w:cs="Times New Roman"/>
          <w:sz w:val="24"/>
          <w:szCs w:val="24"/>
        </w:rPr>
      </w:pPr>
      <w:r w:rsidRPr="00590D46">
        <w:rPr>
          <w:rFonts w:ascii="Times New Roman" w:hAnsi="Times New Roman" w:cs="Times New Roman"/>
          <w:sz w:val="24"/>
          <w:szCs w:val="24"/>
        </w:rPr>
        <w:t>Ogni eventuale controversia di qualunque tipo, genere e natura che insorgesse tra la Stazione</w:t>
      </w:r>
    </w:p>
    <w:p w:rsidR="0056247A" w:rsidRPr="00590D46" w:rsidRDefault="0056247A" w:rsidP="00590D46">
      <w:pPr>
        <w:pStyle w:val="Default"/>
        <w:spacing w:line="360" w:lineRule="auto"/>
        <w:jc w:val="both"/>
        <w:rPr>
          <w:color w:val="auto"/>
        </w:rPr>
      </w:pPr>
      <w:r w:rsidRPr="00590D46">
        <w:t>Appaltante e la ditta Appaltatrice sarà di competenza dell’autorità giudiziaria del Foro di Vercelli.</w:t>
      </w:r>
    </w:p>
    <w:p w:rsidR="002E47B7" w:rsidRPr="00590D46" w:rsidRDefault="002E47B7" w:rsidP="00590D46">
      <w:pPr>
        <w:pStyle w:val="Default"/>
        <w:spacing w:line="360" w:lineRule="auto"/>
        <w:jc w:val="both"/>
        <w:rPr>
          <w:color w:val="auto"/>
        </w:rPr>
      </w:pPr>
    </w:p>
    <w:p w:rsidR="002E47B7" w:rsidRPr="00590D46" w:rsidRDefault="009B2211" w:rsidP="00590D46">
      <w:pPr>
        <w:pStyle w:val="Default"/>
        <w:spacing w:line="360" w:lineRule="auto"/>
        <w:jc w:val="both"/>
        <w:rPr>
          <w:color w:val="auto"/>
        </w:rPr>
      </w:pPr>
      <w:r>
        <w:rPr>
          <w:b/>
          <w:bCs/>
          <w:color w:val="auto"/>
        </w:rPr>
        <w:t>22</w:t>
      </w:r>
      <w:r w:rsidR="002E47B7" w:rsidRPr="00590D46">
        <w:rPr>
          <w:b/>
          <w:bCs/>
          <w:color w:val="auto"/>
        </w:rPr>
        <w:t xml:space="preserve">. INFORMATIVA AI SENSI DELL’ART. 13 DEL </w:t>
      </w:r>
      <w:proofErr w:type="spellStart"/>
      <w:r w:rsidR="002E47B7" w:rsidRPr="00590D46">
        <w:rPr>
          <w:b/>
          <w:bCs/>
          <w:color w:val="auto"/>
        </w:rPr>
        <w:t>D.LGS.</w:t>
      </w:r>
      <w:proofErr w:type="spellEnd"/>
      <w:r w:rsidR="002E47B7" w:rsidRPr="00590D46">
        <w:rPr>
          <w:b/>
          <w:bCs/>
          <w:color w:val="auto"/>
        </w:rPr>
        <w:t xml:space="preserve"> 30.06.2003 N. 196 </w:t>
      </w:r>
    </w:p>
    <w:p w:rsidR="002E47B7" w:rsidRPr="00590D46" w:rsidRDefault="002E47B7" w:rsidP="00590D46">
      <w:pPr>
        <w:pStyle w:val="Default"/>
        <w:spacing w:line="360" w:lineRule="auto"/>
        <w:jc w:val="both"/>
        <w:rPr>
          <w:color w:val="auto"/>
        </w:rPr>
      </w:pPr>
      <w:r w:rsidRPr="00590D46">
        <w:rPr>
          <w:color w:val="auto"/>
        </w:rPr>
        <w:t xml:space="preserve">Ai sensi dell’articolo 13 del decreto legislativo 30.06.2003, n. 196 “Codice in materia di protezione dei dati personali” si informa che i dati forniti dalle imprese, il cui conferimento è obbligatorio, saranno trattati, anche con strumenti informatici, dal Comune di </w:t>
      </w:r>
      <w:r w:rsidR="00916BC1" w:rsidRPr="00590D46">
        <w:rPr>
          <w:color w:val="auto"/>
        </w:rPr>
        <w:t>Vercelli</w:t>
      </w:r>
      <w:r w:rsidRPr="00590D46">
        <w:rPr>
          <w:color w:val="auto"/>
        </w:rPr>
        <w:t xml:space="preserve">, titolare del trattamento, al solo fine dell’espletamento della gara di cui al presente bando ed eventuale successiva stipula ed esecuzione del contratto. In ogni momento potranno essere esercitati i diritti riconosciuti all’interessato dall’art. 7 del medesimo decreto.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2</w:t>
      </w:r>
      <w:r w:rsidR="009B2211">
        <w:rPr>
          <w:b/>
          <w:bCs/>
          <w:color w:val="auto"/>
        </w:rPr>
        <w:t>3</w:t>
      </w:r>
      <w:r w:rsidRPr="00590D46">
        <w:rPr>
          <w:b/>
          <w:bCs/>
          <w:color w:val="auto"/>
        </w:rPr>
        <w:t xml:space="preserve">. DIRITTO </w:t>
      </w:r>
      <w:proofErr w:type="spellStart"/>
      <w:r w:rsidRPr="00590D46">
        <w:rPr>
          <w:b/>
          <w:bCs/>
          <w:color w:val="auto"/>
        </w:rPr>
        <w:t>DI</w:t>
      </w:r>
      <w:proofErr w:type="spellEnd"/>
      <w:r w:rsidRPr="00590D46">
        <w:rPr>
          <w:b/>
          <w:bCs/>
          <w:color w:val="auto"/>
        </w:rPr>
        <w:t xml:space="preserve"> ACCESSO </w:t>
      </w:r>
    </w:p>
    <w:p w:rsidR="002E47B7" w:rsidRPr="00590D46" w:rsidRDefault="002E47B7" w:rsidP="00590D46">
      <w:pPr>
        <w:pStyle w:val="Default"/>
        <w:spacing w:line="360" w:lineRule="auto"/>
        <w:jc w:val="both"/>
        <w:rPr>
          <w:color w:val="auto"/>
        </w:rPr>
      </w:pPr>
      <w:r w:rsidRPr="00590D46">
        <w:rPr>
          <w:color w:val="auto"/>
        </w:rPr>
        <w:lastRenderedPageBreak/>
        <w:t xml:space="preserve">E’ garantito alle ditte concorrenti l’accesso ai documenti amministrativi relativi alla presente gara secondo </w:t>
      </w:r>
      <w:r w:rsidR="0049647B">
        <w:rPr>
          <w:color w:val="auto"/>
        </w:rPr>
        <w:t>le norme di legge</w:t>
      </w:r>
      <w:r w:rsidRPr="00590D46">
        <w:rPr>
          <w:color w:val="auto"/>
        </w:rPr>
        <w:t xml:space="preserve">. </w:t>
      </w:r>
    </w:p>
    <w:p w:rsidR="002E47B7" w:rsidRPr="00590D46" w:rsidRDefault="002E47B7" w:rsidP="00590D46">
      <w:pPr>
        <w:pStyle w:val="Default"/>
        <w:spacing w:line="360" w:lineRule="auto"/>
        <w:jc w:val="both"/>
        <w:rPr>
          <w:b/>
          <w:bCs/>
          <w:color w:val="auto"/>
        </w:rPr>
      </w:pPr>
    </w:p>
    <w:p w:rsidR="002E47B7" w:rsidRPr="00590D46" w:rsidRDefault="002E47B7" w:rsidP="00590D46">
      <w:pPr>
        <w:pStyle w:val="Default"/>
        <w:spacing w:line="360" w:lineRule="auto"/>
        <w:jc w:val="both"/>
        <w:rPr>
          <w:color w:val="auto"/>
        </w:rPr>
      </w:pPr>
      <w:r w:rsidRPr="00590D46">
        <w:rPr>
          <w:b/>
          <w:bCs/>
          <w:color w:val="auto"/>
        </w:rPr>
        <w:t>2</w:t>
      </w:r>
      <w:r w:rsidR="009B2211">
        <w:rPr>
          <w:b/>
          <w:bCs/>
          <w:color w:val="auto"/>
        </w:rPr>
        <w:t>4</w:t>
      </w:r>
      <w:r w:rsidRPr="00590D46">
        <w:rPr>
          <w:b/>
          <w:bCs/>
          <w:color w:val="auto"/>
        </w:rPr>
        <w:t xml:space="preserve">. RESPONSABILE DEL PROCEDIMENTO </w:t>
      </w:r>
    </w:p>
    <w:p w:rsidR="002E47B7" w:rsidRDefault="0049647B" w:rsidP="00590D46">
      <w:pPr>
        <w:pStyle w:val="Default"/>
        <w:spacing w:line="360" w:lineRule="auto"/>
        <w:jc w:val="both"/>
        <w:rPr>
          <w:color w:val="auto"/>
        </w:rPr>
      </w:pPr>
      <w:r>
        <w:rPr>
          <w:color w:val="auto"/>
        </w:rPr>
        <w:t>I</w:t>
      </w:r>
      <w:r w:rsidR="002E47B7" w:rsidRPr="00590D46">
        <w:rPr>
          <w:color w:val="auto"/>
        </w:rPr>
        <w:t>l Responsabile del procedimento è</w:t>
      </w:r>
      <w:r w:rsidR="00D0519A">
        <w:rPr>
          <w:color w:val="auto"/>
        </w:rPr>
        <w:t xml:space="preserve"> il dr. Giovanni </w:t>
      </w:r>
      <w:proofErr w:type="spellStart"/>
      <w:r w:rsidR="00D0519A">
        <w:rPr>
          <w:color w:val="auto"/>
        </w:rPr>
        <w:t>Mazzolotti</w:t>
      </w:r>
      <w:proofErr w:type="spellEnd"/>
      <w:r w:rsidR="002E47B7" w:rsidRPr="00590D46">
        <w:rPr>
          <w:color w:val="auto"/>
        </w:rPr>
        <w:t xml:space="preserve">. </w:t>
      </w:r>
    </w:p>
    <w:p w:rsidR="00F64483" w:rsidRDefault="00F64483" w:rsidP="00590D46">
      <w:pPr>
        <w:pStyle w:val="Default"/>
        <w:spacing w:line="360" w:lineRule="auto"/>
        <w:jc w:val="both"/>
        <w:rPr>
          <w:color w:val="auto"/>
        </w:rPr>
      </w:pPr>
    </w:p>
    <w:p w:rsidR="00F64483" w:rsidRDefault="00F64483" w:rsidP="00590D46">
      <w:pPr>
        <w:pStyle w:val="Default"/>
        <w:spacing w:line="360" w:lineRule="auto"/>
        <w:jc w:val="both"/>
        <w:rPr>
          <w:color w:val="auto"/>
        </w:rPr>
      </w:pPr>
    </w:p>
    <w:p w:rsidR="00F64483" w:rsidRPr="0097752E" w:rsidRDefault="00F64483" w:rsidP="00F64483">
      <w:pPr>
        <w:pStyle w:val="Corpodeltesto"/>
        <w:tabs>
          <w:tab w:val="center" w:pos="6300"/>
        </w:tabs>
        <w:rPr>
          <w:b/>
          <w:sz w:val="22"/>
          <w:szCs w:val="22"/>
        </w:rPr>
      </w:pPr>
      <w:r>
        <w:rPr>
          <w:b/>
          <w:sz w:val="22"/>
          <w:szCs w:val="22"/>
        </w:rPr>
        <w:tab/>
      </w:r>
      <w:r w:rsidRPr="0097752E">
        <w:rPr>
          <w:b/>
          <w:sz w:val="22"/>
          <w:szCs w:val="22"/>
        </w:rPr>
        <w:t xml:space="preserve">IL SEGRETARIO GENERALE  </w:t>
      </w:r>
    </w:p>
    <w:p w:rsidR="00F64483" w:rsidRPr="0097752E" w:rsidRDefault="00F64483" w:rsidP="00F64483">
      <w:pPr>
        <w:pStyle w:val="Corpodeltesto"/>
        <w:tabs>
          <w:tab w:val="center" w:pos="6300"/>
        </w:tabs>
        <w:rPr>
          <w:i/>
          <w:sz w:val="22"/>
          <w:szCs w:val="22"/>
        </w:rPr>
      </w:pPr>
      <w:r w:rsidRPr="0097752E">
        <w:rPr>
          <w:i/>
          <w:sz w:val="22"/>
          <w:szCs w:val="22"/>
        </w:rPr>
        <w:tab/>
        <w:t>Dott. Fausto PAVIA</w:t>
      </w:r>
    </w:p>
    <w:p w:rsidR="00F64483" w:rsidRPr="00590D46" w:rsidRDefault="00F64483" w:rsidP="00590D46">
      <w:pPr>
        <w:pStyle w:val="Default"/>
        <w:spacing w:line="360" w:lineRule="auto"/>
        <w:jc w:val="both"/>
        <w:rPr>
          <w:color w:val="auto"/>
        </w:rPr>
      </w:pPr>
    </w:p>
    <w:sectPr w:rsidR="00F64483" w:rsidRPr="00590D46" w:rsidSect="00435C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0CBB"/>
    <w:multiLevelType w:val="hybridMultilevel"/>
    <w:tmpl w:val="EE143A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E4426D"/>
    <w:multiLevelType w:val="hybridMultilevel"/>
    <w:tmpl w:val="47A4DD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E47B7"/>
    <w:rsid w:val="00036B9D"/>
    <w:rsid w:val="000446C7"/>
    <w:rsid w:val="000C7AD2"/>
    <w:rsid w:val="001141B0"/>
    <w:rsid w:val="00184379"/>
    <w:rsid w:val="001A0673"/>
    <w:rsid w:val="001A119B"/>
    <w:rsid w:val="001B68AF"/>
    <w:rsid w:val="001D05DC"/>
    <w:rsid w:val="00207523"/>
    <w:rsid w:val="002477F6"/>
    <w:rsid w:val="00267FCE"/>
    <w:rsid w:val="002A2D4F"/>
    <w:rsid w:val="002E47B7"/>
    <w:rsid w:val="002E487C"/>
    <w:rsid w:val="002F6BC3"/>
    <w:rsid w:val="00303424"/>
    <w:rsid w:val="00322BE5"/>
    <w:rsid w:val="00327FA0"/>
    <w:rsid w:val="0035413C"/>
    <w:rsid w:val="0037033F"/>
    <w:rsid w:val="003860F9"/>
    <w:rsid w:val="003B4375"/>
    <w:rsid w:val="003F527B"/>
    <w:rsid w:val="004157A7"/>
    <w:rsid w:val="00435C1B"/>
    <w:rsid w:val="004446C0"/>
    <w:rsid w:val="00454AA3"/>
    <w:rsid w:val="004803B9"/>
    <w:rsid w:val="0049647B"/>
    <w:rsid w:val="004D3C1F"/>
    <w:rsid w:val="004D4E84"/>
    <w:rsid w:val="004E3ECD"/>
    <w:rsid w:val="004E7C9D"/>
    <w:rsid w:val="0056247A"/>
    <w:rsid w:val="005822A5"/>
    <w:rsid w:val="00590D46"/>
    <w:rsid w:val="00593B7C"/>
    <w:rsid w:val="005C5C4D"/>
    <w:rsid w:val="005D15C0"/>
    <w:rsid w:val="005F6BBE"/>
    <w:rsid w:val="00600C8D"/>
    <w:rsid w:val="00613F93"/>
    <w:rsid w:val="0063412B"/>
    <w:rsid w:val="00684FC1"/>
    <w:rsid w:val="006C1B4F"/>
    <w:rsid w:val="006D2D15"/>
    <w:rsid w:val="00714B8B"/>
    <w:rsid w:val="007660D2"/>
    <w:rsid w:val="00780619"/>
    <w:rsid w:val="00785F66"/>
    <w:rsid w:val="007A5458"/>
    <w:rsid w:val="007B452E"/>
    <w:rsid w:val="007C2303"/>
    <w:rsid w:val="007C24DB"/>
    <w:rsid w:val="007C4A4C"/>
    <w:rsid w:val="007C616B"/>
    <w:rsid w:val="007D6C91"/>
    <w:rsid w:val="00801669"/>
    <w:rsid w:val="00861698"/>
    <w:rsid w:val="00861E7A"/>
    <w:rsid w:val="008A0F23"/>
    <w:rsid w:val="008C6BBF"/>
    <w:rsid w:val="008E7A04"/>
    <w:rsid w:val="008E7FF1"/>
    <w:rsid w:val="00913D2C"/>
    <w:rsid w:val="00916BC1"/>
    <w:rsid w:val="00956F93"/>
    <w:rsid w:val="009A6440"/>
    <w:rsid w:val="009B2211"/>
    <w:rsid w:val="009C381D"/>
    <w:rsid w:val="009D3105"/>
    <w:rsid w:val="009F23CD"/>
    <w:rsid w:val="00A031B8"/>
    <w:rsid w:val="00A41C30"/>
    <w:rsid w:val="00A9089A"/>
    <w:rsid w:val="00AB0E20"/>
    <w:rsid w:val="00AE2F17"/>
    <w:rsid w:val="00AF3F05"/>
    <w:rsid w:val="00B80215"/>
    <w:rsid w:val="00B825AC"/>
    <w:rsid w:val="00BA6F8C"/>
    <w:rsid w:val="00BC4B48"/>
    <w:rsid w:val="00BD7699"/>
    <w:rsid w:val="00BE3304"/>
    <w:rsid w:val="00C017E7"/>
    <w:rsid w:val="00C11D71"/>
    <w:rsid w:val="00CF06EE"/>
    <w:rsid w:val="00D0519A"/>
    <w:rsid w:val="00D23105"/>
    <w:rsid w:val="00D6723B"/>
    <w:rsid w:val="00DC0DF2"/>
    <w:rsid w:val="00E00826"/>
    <w:rsid w:val="00E073B1"/>
    <w:rsid w:val="00E53481"/>
    <w:rsid w:val="00E5511C"/>
    <w:rsid w:val="00E96354"/>
    <w:rsid w:val="00EB2E1E"/>
    <w:rsid w:val="00EF65AD"/>
    <w:rsid w:val="00F525F8"/>
    <w:rsid w:val="00F64483"/>
    <w:rsid w:val="00F83B03"/>
    <w:rsid w:val="00FC1358"/>
    <w:rsid w:val="00FC2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360" w:lineRule="auto"/>
        <w:ind w:left="1985" w:righ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C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47B7"/>
    <w:pPr>
      <w:autoSpaceDE w:val="0"/>
      <w:autoSpaceDN w:val="0"/>
      <w:adjustRightInd w:val="0"/>
      <w:spacing w:after="0" w:line="240" w:lineRule="auto"/>
      <w:ind w:left="0" w:right="0"/>
      <w:jc w:val="left"/>
    </w:pPr>
    <w:rPr>
      <w:rFonts w:ascii="Times New Roman" w:hAnsi="Times New Roman" w:cs="Times New Roman"/>
      <w:color w:val="000000"/>
      <w:sz w:val="24"/>
      <w:szCs w:val="24"/>
    </w:rPr>
  </w:style>
  <w:style w:type="character" w:styleId="Collegamentoipertestuale">
    <w:name w:val="Hyperlink"/>
    <w:rsid w:val="005D15C0"/>
    <w:rPr>
      <w:color w:val="0000FF"/>
      <w:u w:val="single"/>
    </w:rPr>
  </w:style>
  <w:style w:type="table" w:styleId="Grigliatabella">
    <w:name w:val="Table Grid"/>
    <w:basedOn w:val="Tabellanormale"/>
    <w:uiPriority w:val="59"/>
    <w:rsid w:val="004E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semiHidden/>
    <w:rsid w:val="00F64483"/>
    <w:pPr>
      <w:spacing w:after="0" w:line="240" w:lineRule="auto"/>
      <w:ind w:left="0" w:right="0"/>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F64483"/>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677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6029-AC77-403B-9A43-D34E1FE3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14</Pages>
  <Words>4586</Words>
  <Characters>26141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giovanni.mazzolotti</dc:creator>
  <cp:keywords/>
  <dc:description/>
  <cp:lastModifiedBy>giovanni.mazzolotti</cp:lastModifiedBy>
  <cp:revision>75</cp:revision>
  <cp:lastPrinted>2016-09-13T14:05:00Z</cp:lastPrinted>
  <dcterms:created xsi:type="dcterms:W3CDTF">2014-10-09T09:55:00Z</dcterms:created>
  <dcterms:modified xsi:type="dcterms:W3CDTF">2016-09-19T06:24:00Z</dcterms:modified>
</cp:coreProperties>
</file>